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6F6" w:rsidRPr="00FA6273" w:rsidRDefault="00E246F6" w:rsidP="00E246F6">
      <w:pPr>
        <w:spacing w:line="580" w:lineRule="exact"/>
        <w:ind w:left="1699" w:hangingChars="531" w:hanging="1699"/>
        <w:jc w:val="left"/>
        <w:rPr>
          <w:rFonts w:eastAsia="黑体"/>
          <w:szCs w:val="32"/>
        </w:rPr>
      </w:pPr>
      <w:r w:rsidRPr="00FA6273">
        <w:rPr>
          <w:rFonts w:eastAsia="黑体"/>
          <w:szCs w:val="32"/>
        </w:rPr>
        <w:t>附件</w:t>
      </w:r>
      <w:r w:rsidRPr="00FA6273">
        <w:rPr>
          <w:rFonts w:eastAsia="黑体"/>
          <w:szCs w:val="32"/>
        </w:rPr>
        <w:t>4</w:t>
      </w:r>
    </w:p>
    <w:p w:rsidR="00E246F6" w:rsidRPr="00FA6273" w:rsidRDefault="00E246F6" w:rsidP="00E246F6">
      <w:pPr>
        <w:widowControl/>
        <w:adjustRightInd w:val="0"/>
        <w:snapToGrid w:val="0"/>
        <w:spacing w:beforeLines="100" w:before="312" w:afterLines="100" w:after="312" w:line="580" w:lineRule="exact"/>
        <w:jc w:val="center"/>
        <w:outlineLvl w:val="0"/>
        <w:rPr>
          <w:rFonts w:eastAsia="宋体"/>
          <w:b/>
          <w:bCs/>
          <w:kern w:val="0"/>
          <w:sz w:val="36"/>
          <w:szCs w:val="36"/>
          <w:lang w:val="zh-CN"/>
        </w:rPr>
      </w:pPr>
      <w:r w:rsidRPr="00FA6273">
        <w:rPr>
          <w:rFonts w:eastAsia="宋体"/>
          <w:b/>
          <w:bCs/>
          <w:kern w:val="0"/>
          <w:sz w:val="36"/>
          <w:szCs w:val="36"/>
          <w:lang w:val="zh-CN"/>
        </w:rPr>
        <w:t>《大连商品交易所豆油期货业务细则》修订稿</w:t>
      </w:r>
    </w:p>
    <w:p w:rsidR="00E246F6" w:rsidRPr="00FA6273" w:rsidRDefault="00E246F6" w:rsidP="00E246F6">
      <w:pPr>
        <w:pStyle w:val="a7"/>
        <w:shd w:val="clear" w:color="auto" w:fill="FFFFFF"/>
        <w:spacing w:line="580" w:lineRule="exact"/>
        <w:jc w:val="center"/>
        <w:rPr>
          <w:rFonts w:ascii="Times New Roman" w:hAnsi="Times New Roman" w:cs="Times New Roman"/>
          <w:color w:val="333333"/>
          <w:sz w:val="32"/>
          <w:szCs w:val="32"/>
        </w:rPr>
      </w:pPr>
      <w:r w:rsidRPr="00FA6273">
        <w:rPr>
          <w:rFonts w:ascii="Times New Roman" w:hAnsi="Times New Roman" w:cs="Times New Roman"/>
          <w:color w:val="333333"/>
          <w:sz w:val="32"/>
          <w:szCs w:val="32"/>
        </w:rPr>
        <w:t>第一章</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总则</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第一条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为规范大连商品交易所（以下简称交易所）豆油期货合约交易行为，根据《大连商品交易所交易规则》和《大连商品交易所豆油期货合约》，制定本细则。</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交易所、会员、客户、指定交割仓库、指定质量检验机构、指定期货保证金存管银行及期货市场其他参与者应当遵守本细则。</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本细则未规定的，按照交易所相关业务规则的规定执行。</w:t>
      </w:r>
    </w:p>
    <w:p w:rsidR="00E246F6" w:rsidRPr="00FA6273" w:rsidRDefault="00E246F6" w:rsidP="00E246F6">
      <w:pPr>
        <w:pStyle w:val="a7"/>
        <w:shd w:val="clear" w:color="auto" w:fill="FFFFFF"/>
        <w:spacing w:line="580" w:lineRule="exact"/>
        <w:jc w:val="center"/>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第二章</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合约主要条款和相关参数</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第四条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豆油期货合约交割标准品的质量标准详见附件</w:t>
      </w:r>
      <w:r w:rsidRPr="00FA6273">
        <w:rPr>
          <w:rFonts w:ascii="Times New Roman" w:hAnsi="Times New Roman" w:cs="Times New Roman"/>
          <w:color w:val="333333"/>
          <w:sz w:val="32"/>
          <w:szCs w:val="32"/>
        </w:rPr>
        <w:t>1</w:t>
      </w:r>
      <w:r w:rsidRPr="00FA6273">
        <w:rPr>
          <w:rFonts w:ascii="Times New Roman" w:hAnsi="Times New Roman" w:cs="Times New Roman"/>
          <w:color w:val="333333"/>
          <w:sz w:val="32"/>
          <w:szCs w:val="32"/>
        </w:rPr>
        <w:t>《大连商品交易所豆油交割质量标准（</w:t>
      </w:r>
      <w:r w:rsidRPr="00FA6273">
        <w:rPr>
          <w:rFonts w:ascii="Times New Roman" w:hAnsi="Times New Roman" w:cs="Times New Roman"/>
          <w:color w:val="333333"/>
          <w:sz w:val="32"/>
          <w:szCs w:val="32"/>
        </w:rPr>
        <w:t>F/DCE Y002-2020</w:t>
      </w:r>
      <w:r w:rsidRPr="00FA6273">
        <w:rPr>
          <w:rFonts w:ascii="Times New Roman" w:hAnsi="Times New Roman" w:cs="Times New Roman"/>
          <w:color w:val="333333"/>
          <w:sz w:val="32"/>
          <w:szCs w:val="32"/>
        </w:rPr>
        <w:t>）》。</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第五条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豆油期货合约采用实物交割。</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第六条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豆油指定交割仓库分为基准交割仓库和非基准交割仓库（详见附件</w:t>
      </w:r>
      <w:r w:rsidRPr="00FA6273">
        <w:rPr>
          <w:rFonts w:ascii="Times New Roman" w:hAnsi="Times New Roman" w:cs="Times New Roman"/>
          <w:color w:val="333333"/>
          <w:sz w:val="32"/>
          <w:szCs w:val="32"/>
        </w:rPr>
        <w:t>2</w:t>
      </w:r>
      <w:r w:rsidRPr="00FA6273">
        <w:rPr>
          <w:rFonts w:ascii="Times New Roman" w:hAnsi="Times New Roman" w:cs="Times New Roman"/>
          <w:color w:val="333333"/>
          <w:sz w:val="32"/>
          <w:szCs w:val="32"/>
        </w:rPr>
        <w:t>《大连商品交易所豆油指定交割仓库名录》）。</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lastRenderedPageBreak/>
        <w:t xml:space="preserve">　　豆油指定交割仓库的升贴水可以采用</w:t>
      </w:r>
      <w:proofErr w:type="gramStart"/>
      <w:r w:rsidRPr="00FA6273">
        <w:rPr>
          <w:rFonts w:ascii="Times New Roman" w:hAnsi="Times New Roman" w:cs="Times New Roman"/>
          <w:color w:val="333333"/>
          <w:sz w:val="32"/>
          <w:szCs w:val="32"/>
        </w:rPr>
        <w:t>固定升</w:t>
      </w:r>
      <w:proofErr w:type="gramEnd"/>
      <w:r w:rsidRPr="00FA6273">
        <w:rPr>
          <w:rFonts w:ascii="Times New Roman" w:hAnsi="Times New Roman" w:cs="Times New Roman"/>
          <w:color w:val="333333"/>
          <w:sz w:val="32"/>
          <w:szCs w:val="32"/>
        </w:rPr>
        <w:t>贴水或者动态升贴水。动态升贴水按照附件</w:t>
      </w:r>
      <w:r w:rsidRPr="00FA6273">
        <w:rPr>
          <w:rFonts w:ascii="Times New Roman" w:hAnsi="Times New Roman" w:cs="Times New Roman"/>
          <w:color w:val="333333"/>
          <w:sz w:val="32"/>
          <w:szCs w:val="32"/>
        </w:rPr>
        <w:t>3</w:t>
      </w:r>
      <w:r w:rsidRPr="00FA6273">
        <w:rPr>
          <w:rFonts w:ascii="Times New Roman" w:hAnsi="Times New Roman" w:cs="Times New Roman"/>
          <w:color w:val="333333"/>
          <w:sz w:val="32"/>
          <w:szCs w:val="32"/>
        </w:rPr>
        <w:t>《大连商品交易所豆油动态升贴水标准》执行。</w:t>
      </w:r>
      <w:proofErr w:type="gramStart"/>
      <w:r w:rsidRPr="00FA6273">
        <w:rPr>
          <w:rFonts w:ascii="Times New Roman" w:hAnsi="Times New Roman" w:cs="Times New Roman"/>
          <w:color w:val="333333"/>
          <w:sz w:val="32"/>
          <w:szCs w:val="32"/>
        </w:rPr>
        <w:t>固定升</w:t>
      </w:r>
      <w:proofErr w:type="gramEnd"/>
      <w:r w:rsidRPr="00FA6273">
        <w:rPr>
          <w:rFonts w:ascii="Times New Roman" w:hAnsi="Times New Roman" w:cs="Times New Roman"/>
          <w:color w:val="333333"/>
          <w:sz w:val="32"/>
          <w:szCs w:val="32"/>
        </w:rPr>
        <w:t>贴水或动态升贴水由交易所确定并公布。交易所可视情况对豆油指定交割仓库及升贴水进行调整。</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第七条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豆油期货合约的合约月份为</w:t>
      </w:r>
      <w:r w:rsidRPr="00FA6273">
        <w:rPr>
          <w:rFonts w:ascii="Times New Roman" w:hAnsi="Times New Roman" w:cs="Times New Roman"/>
          <w:color w:val="333333"/>
          <w:sz w:val="32"/>
          <w:szCs w:val="32"/>
        </w:rPr>
        <w:t>1</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3</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5</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7</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8</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9</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11</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12</w:t>
      </w:r>
      <w:r w:rsidRPr="00FA6273">
        <w:rPr>
          <w:rFonts w:ascii="Times New Roman" w:hAnsi="Times New Roman" w:cs="Times New Roman"/>
          <w:color w:val="333333"/>
          <w:sz w:val="32"/>
          <w:szCs w:val="32"/>
        </w:rPr>
        <w:t>月。</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第八条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豆油期货合约的交易单位为</w:t>
      </w:r>
      <w:r w:rsidRPr="00FA6273">
        <w:rPr>
          <w:rFonts w:ascii="Times New Roman" w:hAnsi="Times New Roman" w:cs="Times New Roman"/>
          <w:color w:val="333333"/>
          <w:sz w:val="32"/>
          <w:szCs w:val="32"/>
        </w:rPr>
        <w:t>10</w:t>
      </w:r>
      <w:r w:rsidRPr="00FA6273">
        <w:rPr>
          <w:rFonts w:ascii="Times New Roman" w:hAnsi="Times New Roman" w:cs="Times New Roman"/>
          <w:color w:val="333333"/>
          <w:sz w:val="32"/>
          <w:szCs w:val="32"/>
        </w:rPr>
        <w:t>吨</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手。</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第九条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豆油期货合约的报价单位为元（人民币）</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吨。</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第十条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豆油期货合约的最小变动价位为</w:t>
      </w:r>
      <w:r w:rsidRPr="00FA6273">
        <w:rPr>
          <w:rFonts w:ascii="Times New Roman" w:hAnsi="Times New Roman" w:cs="Times New Roman"/>
          <w:color w:val="333333"/>
          <w:sz w:val="32"/>
          <w:szCs w:val="32"/>
        </w:rPr>
        <w:t>2</w:t>
      </w:r>
      <w:r w:rsidRPr="00FA6273">
        <w:rPr>
          <w:rFonts w:ascii="Times New Roman" w:hAnsi="Times New Roman" w:cs="Times New Roman"/>
          <w:color w:val="333333"/>
          <w:sz w:val="32"/>
          <w:szCs w:val="32"/>
        </w:rPr>
        <w:t>元</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吨。</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第十一条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豆油期货合约的交易指令每次最大下单数量为</w:t>
      </w:r>
      <w:r w:rsidRPr="00FA6273">
        <w:rPr>
          <w:rFonts w:ascii="Times New Roman" w:hAnsi="Times New Roman" w:cs="Times New Roman"/>
          <w:color w:val="333333"/>
          <w:sz w:val="32"/>
          <w:szCs w:val="32"/>
        </w:rPr>
        <w:t>1000</w:t>
      </w:r>
      <w:r w:rsidRPr="00FA6273">
        <w:rPr>
          <w:rFonts w:ascii="Times New Roman" w:hAnsi="Times New Roman" w:cs="Times New Roman"/>
          <w:color w:val="333333"/>
          <w:sz w:val="32"/>
          <w:szCs w:val="32"/>
        </w:rPr>
        <w:t>手。</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第十二条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豆油期货合约的交易保证金标准、涨跌停板幅度和持仓限额，按照《大连商品交易所风险管理办法》相关规定执行。</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第十三条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豆油期货合约的最后交易日为合约月份第</w:t>
      </w:r>
      <w:r w:rsidRPr="00FA6273">
        <w:rPr>
          <w:rFonts w:ascii="Times New Roman" w:hAnsi="Times New Roman" w:cs="Times New Roman"/>
          <w:color w:val="333333"/>
          <w:sz w:val="32"/>
          <w:szCs w:val="32"/>
        </w:rPr>
        <w:t>10</w:t>
      </w:r>
      <w:r w:rsidRPr="00FA6273">
        <w:rPr>
          <w:rFonts w:ascii="Times New Roman" w:hAnsi="Times New Roman" w:cs="Times New Roman"/>
          <w:color w:val="333333"/>
          <w:sz w:val="32"/>
          <w:szCs w:val="32"/>
        </w:rPr>
        <w:t>个交易日。</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第十四条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豆油期货合约的最后交割日为最后交易日后第</w:t>
      </w:r>
      <w:r w:rsidRPr="00FA6273">
        <w:rPr>
          <w:rFonts w:ascii="Times New Roman" w:hAnsi="Times New Roman" w:cs="Times New Roman"/>
          <w:color w:val="333333"/>
          <w:sz w:val="32"/>
          <w:szCs w:val="32"/>
        </w:rPr>
        <w:t>3</w:t>
      </w:r>
      <w:r w:rsidRPr="00FA6273">
        <w:rPr>
          <w:rFonts w:ascii="Times New Roman" w:hAnsi="Times New Roman" w:cs="Times New Roman"/>
          <w:color w:val="333333"/>
          <w:sz w:val="32"/>
          <w:szCs w:val="32"/>
        </w:rPr>
        <w:t>个交易日。</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lastRenderedPageBreak/>
        <w:t xml:space="preserve">　　第十五条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豆油期货合约的交易代码为</w:t>
      </w:r>
      <w:r w:rsidRPr="00FA6273">
        <w:rPr>
          <w:rFonts w:ascii="Times New Roman" w:hAnsi="Times New Roman" w:cs="Times New Roman"/>
          <w:color w:val="333333"/>
          <w:sz w:val="32"/>
          <w:szCs w:val="32"/>
        </w:rPr>
        <w:t>Y</w:t>
      </w:r>
      <w:r w:rsidRPr="00FA6273">
        <w:rPr>
          <w:rFonts w:ascii="Times New Roman" w:hAnsi="Times New Roman" w:cs="Times New Roman"/>
          <w:color w:val="333333"/>
          <w:sz w:val="32"/>
          <w:szCs w:val="32"/>
        </w:rPr>
        <w:t>。</w:t>
      </w:r>
    </w:p>
    <w:p w:rsidR="00E246F6" w:rsidRPr="00FA6273" w:rsidRDefault="00E246F6" w:rsidP="00E246F6">
      <w:pPr>
        <w:pStyle w:val="a7"/>
        <w:shd w:val="clear" w:color="auto" w:fill="FFFFFF"/>
        <w:spacing w:line="580" w:lineRule="exact"/>
        <w:jc w:val="center"/>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第三章</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交割与结算</w:t>
      </w:r>
    </w:p>
    <w:p w:rsidR="00E246F6" w:rsidRPr="00FA6273" w:rsidRDefault="00E246F6" w:rsidP="00E246F6">
      <w:pPr>
        <w:pStyle w:val="a7"/>
        <w:shd w:val="clear" w:color="auto" w:fill="FFFFFF"/>
        <w:spacing w:line="580" w:lineRule="exact"/>
        <w:jc w:val="center"/>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第一节</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一般规定</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第十六条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豆油期货合约适用期货转现货（以下简称</w:t>
      </w:r>
      <w:proofErr w:type="gramStart"/>
      <w:r w:rsidRPr="00FA6273">
        <w:rPr>
          <w:rFonts w:ascii="Times New Roman" w:hAnsi="Times New Roman" w:cs="Times New Roman"/>
          <w:color w:val="333333"/>
          <w:sz w:val="32"/>
          <w:szCs w:val="32"/>
        </w:rPr>
        <w:t>期转现</w:t>
      </w:r>
      <w:proofErr w:type="gramEnd"/>
      <w:r w:rsidRPr="00FA6273">
        <w:rPr>
          <w:rFonts w:ascii="Times New Roman" w:hAnsi="Times New Roman" w:cs="Times New Roman"/>
          <w:color w:val="333333"/>
          <w:sz w:val="32"/>
          <w:szCs w:val="32"/>
        </w:rPr>
        <w:t>）、滚动交割和一次性交割，具体流程见《大连商品交易所交割管理办法》、《大连商品交易所结算管理办法》相关规定。</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第十七条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豆油标准仓单分为仓库标准仓单和厂库标准仓单。</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第十八条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豆油交割开具增值税专用发票。</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第十九条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豆油交割手续费为</w:t>
      </w:r>
      <w:r w:rsidRPr="00FA6273">
        <w:rPr>
          <w:rFonts w:ascii="Times New Roman" w:hAnsi="Times New Roman" w:cs="Times New Roman"/>
          <w:color w:val="333333"/>
          <w:sz w:val="32"/>
          <w:szCs w:val="32"/>
        </w:rPr>
        <w:t>1</w:t>
      </w:r>
      <w:r w:rsidRPr="00FA6273">
        <w:rPr>
          <w:rFonts w:ascii="Times New Roman" w:hAnsi="Times New Roman" w:cs="Times New Roman"/>
          <w:color w:val="333333"/>
          <w:sz w:val="32"/>
          <w:szCs w:val="32"/>
        </w:rPr>
        <w:t>元</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吨；检验费为</w:t>
      </w:r>
      <w:r w:rsidRPr="00FA6273">
        <w:rPr>
          <w:rFonts w:ascii="Times New Roman" w:hAnsi="Times New Roman" w:cs="Times New Roman"/>
          <w:color w:val="333333"/>
          <w:sz w:val="32"/>
          <w:szCs w:val="32"/>
        </w:rPr>
        <w:t>3</w:t>
      </w:r>
      <w:r w:rsidRPr="00FA6273">
        <w:rPr>
          <w:rFonts w:ascii="Times New Roman" w:hAnsi="Times New Roman" w:cs="Times New Roman"/>
          <w:color w:val="333333"/>
          <w:sz w:val="32"/>
          <w:szCs w:val="32"/>
        </w:rPr>
        <w:t>元</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吨；仓储及损耗费（包括储存费、保管损耗）收取标准为</w:t>
      </w:r>
      <w:r w:rsidRPr="00FA6273">
        <w:rPr>
          <w:rFonts w:ascii="Times New Roman" w:hAnsi="Times New Roman" w:cs="Times New Roman"/>
          <w:color w:val="333333"/>
          <w:sz w:val="32"/>
          <w:szCs w:val="32"/>
        </w:rPr>
        <w:t>0.90</w:t>
      </w:r>
      <w:r w:rsidRPr="00FA6273">
        <w:rPr>
          <w:rFonts w:ascii="Times New Roman" w:hAnsi="Times New Roman" w:cs="Times New Roman"/>
          <w:color w:val="333333"/>
          <w:sz w:val="32"/>
          <w:szCs w:val="32"/>
        </w:rPr>
        <w:t>元</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吨</w:t>
      </w:r>
      <w:r w:rsidRPr="00FA6273">
        <w:rPr>
          <w:rFonts w:ascii="Times New Roman" w:eastAsia="微软雅黑" w:hAnsi="Times New Roman" w:cs="Times New Roman"/>
          <w:color w:val="333333"/>
          <w:sz w:val="32"/>
          <w:szCs w:val="32"/>
        </w:rPr>
        <w:t>•</w:t>
      </w:r>
      <w:r w:rsidRPr="00FA6273">
        <w:rPr>
          <w:rFonts w:ascii="Times New Roman" w:hAnsi="Times New Roman" w:cs="Times New Roman"/>
          <w:color w:val="333333"/>
          <w:sz w:val="32"/>
          <w:szCs w:val="32"/>
        </w:rPr>
        <w:t>天。</w:t>
      </w:r>
    </w:p>
    <w:p w:rsidR="00E246F6" w:rsidRPr="00FA6273" w:rsidRDefault="00E246F6" w:rsidP="00E246F6">
      <w:pPr>
        <w:pStyle w:val="a7"/>
        <w:shd w:val="clear" w:color="auto" w:fill="FFFFFF"/>
        <w:spacing w:line="580" w:lineRule="exact"/>
        <w:jc w:val="center"/>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第二节</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标准仓单交割</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第二十条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标准仓单生成、流通、注销等相关业务，本细则未规定的，适用《大连商品交易所标准仓单管理办法》相关规定。</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第二十一条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会员办理交割预报时，应当按</w:t>
      </w:r>
      <w:r w:rsidRPr="00FA6273">
        <w:rPr>
          <w:rFonts w:ascii="Times New Roman" w:hAnsi="Times New Roman" w:cs="Times New Roman"/>
          <w:color w:val="333333"/>
          <w:sz w:val="32"/>
          <w:szCs w:val="32"/>
        </w:rPr>
        <w:t>30</w:t>
      </w:r>
      <w:r w:rsidRPr="00FA6273">
        <w:rPr>
          <w:rFonts w:ascii="Times New Roman" w:hAnsi="Times New Roman" w:cs="Times New Roman"/>
          <w:color w:val="333333"/>
          <w:sz w:val="32"/>
          <w:szCs w:val="32"/>
        </w:rPr>
        <w:t>元</w:t>
      </w:r>
      <w:r w:rsidRPr="00FA6273">
        <w:rPr>
          <w:rFonts w:ascii="Times New Roman" w:hAnsi="Times New Roman" w:cs="Times New Roman"/>
          <w:color w:val="333333"/>
          <w:sz w:val="32"/>
          <w:szCs w:val="32"/>
        </w:rPr>
        <w:t>/</w:t>
      </w:r>
      <w:proofErr w:type="gramStart"/>
      <w:r w:rsidRPr="00FA6273">
        <w:rPr>
          <w:rFonts w:ascii="Times New Roman" w:hAnsi="Times New Roman" w:cs="Times New Roman"/>
          <w:color w:val="333333"/>
          <w:sz w:val="32"/>
          <w:szCs w:val="32"/>
        </w:rPr>
        <w:t>吨向交易所</w:t>
      </w:r>
      <w:proofErr w:type="gramEnd"/>
      <w:r w:rsidRPr="00FA6273">
        <w:rPr>
          <w:rFonts w:ascii="Times New Roman" w:hAnsi="Times New Roman" w:cs="Times New Roman"/>
          <w:color w:val="333333"/>
          <w:sz w:val="32"/>
          <w:szCs w:val="32"/>
        </w:rPr>
        <w:t>交纳交割预报定金。</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lastRenderedPageBreak/>
        <w:t xml:space="preserve">　　第二十二条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办理完交割预报的货主在发货前，应当将车船号、品种、数量、到货时间等通知指定交割仓库，指定交割仓库应当合理安排接收商品入库。</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第二十三条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豆油收发重量以指定交割仓库检重为准，</w:t>
      </w:r>
      <w:proofErr w:type="gramStart"/>
      <w:r w:rsidRPr="00FA6273">
        <w:rPr>
          <w:rFonts w:ascii="Times New Roman" w:hAnsi="Times New Roman" w:cs="Times New Roman"/>
          <w:color w:val="333333"/>
          <w:sz w:val="32"/>
          <w:szCs w:val="32"/>
        </w:rPr>
        <w:t>检重时汽运</w:t>
      </w:r>
      <w:proofErr w:type="gramEnd"/>
      <w:r w:rsidRPr="00FA6273">
        <w:rPr>
          <w:rFonts w:ascii="Times New Roman" w:hAnsi="Times New Roman" w:cs="Times New Roman"/>
          <w:color w:val="333333"/>
          <w:sz w:val="32"/>
          <w:szCs w:val="32"/>
        </w:rPr>
        <w:t>以地磅计量为准，火车运输以火车</w:t>
      </w:r>
      <w:proofErr w:type="gramStart"/>
      <w:r w:rsidRPr="00FA6273">
        <w:rPr>
          <w:rFonts w:ascii="Times New Roman" w:hAnsi="Times New Roman" w:cs="Times New Roman"/>
          <w:color w:val="333333"/>
          <w:sz w:val="32"/>
          <w:szCs w:val="32"/>
        </w:rPr>
        <w:t>罐打尺</w:t>
      </w:r>
      <w:proofErr w:type="gramEnd"/>
      <w:r w:rsidRPr="00FA6273">
        <w:rPr>
          <w:rFonts w:ascii="Times New Roman" w:hAnsi="Times New Roman" w:cs="Times New Roman"/>
          <w:color w:val="333333"/>
          <w:sz w:val="32"/>
          <w:szCs w:val="32"/>
        </w:rPr>
        <w:t>计量为准，船运以储油罐打尺计量为准。</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第二十四条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指定交割仓库按照交易所有关规定对入库的豆油进行检验。检验结果为合格的，指定交割仓库将有关检验报告报交易所。交易所或者交易所委托质量检验机构对入库商品进行核查，确认无误后方为入库商品检验合格。</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第二十五条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指定交割仓库按照交易所有关规定对入库的豆油进行检验时，应当以一个油池、一个油罐、一个车槽为一个检验单位。</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第二十六条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豆油标准仓单在每年的</w:t>
      </w:r>
      <w:r w:rsidRPr="00FA6273">
        <w:rPr>
          <w:rFonts w:ascii="Times New Roman" w:hAnsi="Times New Roman" w:cs="Times New Roman"/>
          <w:color w:val="333333"/>
          <w:sz w:val="32"/>
          <w:szCs w:val="32"/>
        </w:rPr>
        <w:t>3</w:t>
      </w:r>
      <w:r w:rsidRPr="00FA6273">
        <w:rPr>
          <w:rFonts w:ascii="Times New Roman" w:hAnsi="Times New Roman" w:cs="Times New Roman"/>
          <w:color w:val="333333"/>
          <w:sz w:val="32"/>
          <w:szCs w:val="32"/>
        </w:rPr>
        <w:t>月份最后</w:t>
      </w:r>
      <w:r w:rsidRPr="00FA6273">
        <w:rPr>
          <w:rFonts w:ascii="Times New Roman" w:hAnsi="Times New Roman" w:cs="Times New Roman"/>
          <w:color w:val="333333"/>
          <w:sz w:val="32"/>
          <w:szCs w:val="32"/>
        </w:rPr>
        <w:t>1</w:t>
      </w:r>
      <w:r w:rsidRPr="00FA6273">
        <w:rPr>
          <w:rFonts w:ascii="Times New Roman" w:hAnsi="Times New Roman" w:cs="Times New Roman"/>
          <w:color w:val="333333"/>
          <w:sz w:val="32"/>
          <w:szCs w:val="32"/>
        </w:rPr>
        <w:t>个交易日之前应当进行标准仓单注销。</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第二十七条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对于有精炼能力的仓库，豆油仓库标准仓单注销后，货主提出精炼要求的，仓库有义务代为进行大豆原油的精炼，精炼产品、精炼损耗和精炼费用由仓库和货主协商确定。</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lastRenderedPageBreak/>
        <w:t xml:space="preserve">　　对于有精炼能力的厂库，豆油厂库标准仓单注销后，如果货主提出精炼要求，厂库有义务向其提供符合要求的精炼豆油，精炼产品、精炼损耗和精炼费用由厂库和货主协商确定。在这种情况下，发货时间和发货速度不需按交易所有关规定办理。厂库和货主应当进行书面确认并妥善保存，以备核查。</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第二十八条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豆油从仓库出库时，持有《提货通知单》或者提货密码的货主应当在实际提货日</w:t>
      </w:r>
      <w:r w:rsidRPr="00FA6273">
        <w:rPr>
          <w:rFonts w:ascii="Times New Roman" w:hAnsi="Times New Roman" w:cs="Times New Roman"/>
          <w:color w:val="333333"/>
          <w:sz w:val="32"/>
          <w:szCs w:val="32"/>
        </w:rPr>
        <w:t>3</w:t>
      </w:r>
      <w:r w:rsidRPr="00FA6273">
        <w:rPr>
          <w:rFonts w:ascii="Times New Roman" w:hAnsi="Times New Roman" w:cs="Times New Roman"/>
          <w:color w:val="333333"/>
          <w:sz w:val="32"/>
          <w:szCs w:val="32"/>
        </w:rPr>
        <w:t>个自然日前与指定交割仓库联系有关出库事宜，并在标准仓单注销日后</w:t>
      </w:r>
      <w:r w:rsidRPr="00FA6273">
        <w:rPr>
          <w:rFonts w:ascii="Times New Roman" w:hAnsi="Times New Roman" w:cs="Times New Roman"/>
          <w:color w:val="333333"/>
          <w:sz w:val="32"/>
          <w:szCs w:val="32"/>
        </w:rPr>
        <w:t>10</w:t>
      </w:r>
      <w:r w:rsidRPr="00FA6273">
        <w:rPr>
          <w:rFonts w:ascii="Times New Roman" w:hAnsi="Times New Roman" w:cs="Times New Roman"/>
          <w:color w:val="333333"/>
          <w:sz w:val="32"/>
          <w:szCs w:val="32"/>
        </w:rPr>
        <w:t>个工作日内（含当日）到指定交割仓库提货。</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第二十九条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豆油从厂库出库时，货主应当在标准仓单注销日后（不含注销日）的</w:t>
      </w:r>
      <w:r w:rsidRPr="00FA6273">
        <w:rPr>
          <w:rFonts w:ascii="Times New Roman" w:hAnsi="Times New Roman" w:cs="Times New Roman"/>
          <w:color w:val="333333"/>
          <w:sz w:val="32"/>
          <w:szCs w:val="32"/>
        </w:rPr>
        <w:t>4</w:t>
      </w:r>
      <w:r w:rsidRPr="00FA6273">
        <w:rPr>
          <w:rFonts w:ascii="Times New Roman" w:hAnsi="Times New Roman" w:cs="Times New Roman"/>
          <w:color w:val="333333"/>
          <w:sz w:val="32"/>
          <w:szCs w:val="32"/>
        </w:rPr>
        <w:t>个自然日内（含当日）到厂库提货。厂库应当在标准仓单注销日后（不含注销日）的</w:t>
      </w:r>
      <w:r w:rsidRPr="00FA6273">
        <w:rPr>
          <w:rFonts w:ascii="Times New Roman" w:hAnsi="Times New Roman" w:cs="Times New Roman"/>
          <w:color w:val="333333"/>
          <w:sz w:val="32"/>
          <w:szCs w:val="32"/>
        </w:rPr>
        <w:t>4</w:t>
      </w:r>
      <w:r w:rsidRPr="00FA6273">
        <w:rPr>
          <w:rFonts w:ascii="Times New Roman" w:hAnsi="Times New Roman" w:cs="Times New Roman"/>
          <w:color w:val="333333"/>
          <w:sz w:val="32"/>
          <w:szCs w:val="32"/>
        </w:rPr>
        <w:t>个自然日内（含当日）开始发货。</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豆油出库时，厂库应当在货主的监督下进行抽样，经双方确认后将样品封存，并将样品保留至发货日后的</w:t>
      </w:r>
      <w:r w:rsidRPr="00FA6273">
        <w:rPr>
          <w:rFonts w:ascii="Times New Roman" w:hAnsi="Times New Roman" w:cs="Times New Roman"/>
          <w:color w:val="333333"/>
          <w:sz w:val="32"/>
          <w:szCs w:val="32"/>
        </w:rPr>
        <w:t>30</w:t>
      </w:r>
      <w:r w:rsidRPr="00FA6273">
        <w:rPr>
          <w:rFonts w:ascii="Times New Roman" w:hAnsi="Times New Roman" w:cs="Times New Roman"/>
          <w:color w:val="333333"/>
          <w:sz w:val="32"/>
          <w:szCs w:val="32"/>
        </w:rPr>
        <w:t>个自然日，作为发生质量争议时的处理依据。</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第三十条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厂库以不高于日发货速度向货主发货时，货主因运输能力等原因无法按时提货，货主应当向厂库支付滞纳金。滞纳金按照如下方法确定：</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lastRenderedPageBreak/>
        <w:t xml:space="preserve">　　（一）从开始提货之日（含当日）起，每日按照截至当日应提而未提的商品数量乘以相应的滞纳金标准计算出当日滞纳金金额；</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（二）直至完成提货之日（不含当日），在加总每日滞纳金金额的基础上，计算出货主应当向厂库支付的滞纳金总额。</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滞纳金标准为</w:t>
      </w:r>
      <w:r w:rsidRPr="00FA6273">
        <w:rPr>
          <w:rFonts w:ascii="Times New Roman" w:hAnsi="Times New Roman" w:cs="Times New Roman"/>
          <w:color w:val="333333"/>
          <w:sz w:val="32"/>
          <w:szCs w:val="32"/>
        </w:rPr>
        <w:t>2</w:t>
      </w:r>
      <w:r w:rsidRPr="00FA6273">
        <w:rPr>
          <w:rFonts w:ascii="Times New Roman" w:hAnsi="Times New Roman" w:cs="Times New Roman"/>
          <w:color w:val="333333"/>
          <w:sz w:val="32"/>
          <w:szCs w:val="32"/>
        </w:rPr>
        <w:t>元</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吨</w:t>
      </w:r>
      <w:r w:rsidRPr="00FA6273">
        <w:rPr>
          <w:rFonts w:ascii="Times New Roman" w:eastAsia="微软雅黑" w:hAnsi="Times New Roman" w:cs="Times New Roman"/>
          <w:color w:val="333333"/>
          <w:sz w:val="32"/>
          <w:szCs w:val="32"/>
        </w:rPr>
        <w:t>•</w:t>
      </w:r>
      <w:r w:rsidRPr="00FA6273">
        <w:rPr>
          <w:rFonts w:ascii="Times New Roman" w:hAnsi="Times New Roman" w:cs="Times New Roman"/>
          <w:color w:val="333333"/>
          <w:sz w:val="32"/>
          <w:szCs w:val="32"/>
        </w:rPr>
        <w:t>天。</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第三十一条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在提货期限届满之日后（不含当日）且在标准仓单注销日后（不含注销日）的</w:t>
      </w:r>
      <w:r w:rsidRPr="00FA6273">
        <w:rPr>
          <w:rFonts w:ascii="Times New Roman" w:hAnsi="Times New Roman" w:cs="Times New Roman"/>
          <w:color w:val="333333"/>
          <w:sz w:val="32"/>
          <w:szCs w:val="32"/>
        </w:rPr>
        <w:t>19</w:t>
      </w:r>
      <w:r w:rsidRPr="00FA6273">
        <w:rPr>
          <w:rFonts w:ascii="Times New Roman" w:hAnsi="Times New Roman" w:cs="Times New Roman"/>
          <w:color w:val="333333"/>
          <w:sz w:val="32"/>
          <w:szCs w:val="32"/>
        </w:rPr>
        <w:t>个自然日内（含当日）到厂库提货的，货主应当向厂库支付滞纳金，厂库仍应按照期货标准承担有关的商品质量、发货时间和发货速度的责任，直至</w:t>
      </w:r>
      <w:proofErr w:type="gramStart"/>
      <w:r w:rsidRPr="00FA6273">
        <w:rPr>
          <w:rFonts w:ascii="Times New Roman" w:hAnsi="Times New Roman" w:cs="Times New Roman"/>
          <w:color w:val="333333"/>
          <w:sz w:val="32"/>
          <w:szCs w:val="32"/>
        </w:rPr>
        <w:t>发完全</w:t>
      </w:r>
      <w:proofErr w:type="gramEnd"/>
      <w:r w:rsidRPr="00FA6273">
        <w:rPr>
          <w:rFonts w:ascii="Times New Roman" w:hAnsi="Times New Roman" w:cs="Times New Roman"/>
          <w:color w:val="333333"/>
          <w:sz w:val="32"/>
          <w:szCs w:val="32"/>
        </w:rPr>
        <w:t>部期货商品。</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滞纳金按照如下方法确定：</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（一）从提货期限届满之日（含当日）起，每日按照截至当日应提而未提的商品数量乘以相应的滞纳金标准计算出当日滞纳金金额；</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（二）直至完成提货之日（不含当日），在加总每日滞纳金金额的基础上，计算出货主应当向厂库支付的滞纳金总额。</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滞纳金标准为</w:t>
      </w:r>
      <w:r w:rsidRPr="00FA6273">
        <w:rPr>
          <w:rFonts w:ascii="Times New Roman" w:hAnsi="Times New Roman" w:cs="Times New Roman"/>
          <w:color w:val="333333"/>
          <w:sz w:val="32"/>
          <w:szCs w:val="32"/>
        </w:rPr>
        <w:t>2</w:t>
      </w:r>
      <w:r w:rsidRPr="00FA6273">
        <w:rPr>
          <w:rFonts w:ascii="Times New Roman" w:hAnsi="Times New Roman" w:cs="Times New Roman"/>
          <w:color w:val="333333"/>
          <w:sz w:val="32"/>
          <w:szCs w:val="32"/>
        </w:rPr>
        <w:t>元</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吨</w:t>
      </w:r>
      <w:r w:rsidRPr="00FA6273">
        <w:rPr>
          <w:rFonts w:ascii="Times New Roman" w:eastAsia="微软雅黑" w:hAnsi="Times New Roman" w:cs="Times New Roman"/>
          <w:color w:val="333333"/>
          <w:sz w:val="32"/>
          <w:szCs w:val="32"/>
        </w:rPr>
        <w:t>•</w:t>
      </w:r>
      <w:r w:rsidRPr="00FA6273">
        <w:rPr>
          <w:rFonts w:ascii="Times New Roman" w:hAnsi="Times New Roman" w:cs="Times New Roman"/>
          <w:color w:val="333333"/>
          <w:sz w:val="32"/>
          <w:szCs w:val="32"/>
        </w:rPr>
        <w:t>天。</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lastRenderedPageBreak/>
        <w:t xml:space="preserve">　　第三十二条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在标准仓单注销日后（不含注销日）的</w:t>
      </w:r>
      <w:r w:rsidRPr="00FA6273">
        <w:rPr>
          <w:rFonts w:ascii="Times New Roman" w:hAnsi="Times New Roman" w:cs="Times New Roman"/>
          <w:color w:val="333333"/>
          <w:sz w:val="32"/>
          <w:szCs w:val="32"/>
        </w:rPr>
        <w:t>19</w:t>
      </w:r>
      <w:r w:rsidRPr="00FA6273">
        <w:rPr>
          <w:rFonts w:ascii="Times New Roman" w:hAnsi="Times New Roman" w:cs="Times New Roman"/>
          <w:color w:val="333333"/>
          <w:sz w:val="32"/>
          <w:szCs w:val="32"/>
        </w:rPr>
        <w:t>个自然日后（不含当日）到厂库提货的，货主应当以下述公式的计算方法向厂库支付滞纳金，同时厂库将不再按照期货标准承担有关的商品质量、发货时间和发货速度的责任。</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滞纳金金额</w:t>
      </w:r>
      <w:r w:rsidRPr="00FA6273">
        <w:rPr>
          <w:rFonts w:ascii="Times New Roman" w:hAnsi="Times New Roman" w:cs="Times New Roman"/>
          <w:color w:val="333333"/>
          <w:sz w:val="32"/>
          <w:szCs w:val="32"/>
        </w:rPr>
        <w:t>=2</w:t>
      </w:r>
      <w:r w:rsidRPr="00FA6273">
        <w:rPr>
          <w:rFonts w:ascii="Times New Roman" w:hAnsi="Times New Roman" w:cs="Times New Roman"/>
          <w:color w:val="333333"/>
          <w:sz w:val="32"/>
          <w:szCs w:val="32"/>
        </w:rPr>
        <w:t>元</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吨</w:t>
      </w:r>
      <w:r w:rsidRPr="00FA6273">
        <w:rPr>
          <w:rFonts w:ascii="Times New Roman" w:eastAsia="微软雅黑" w:hAnsi="Times New Roman" w:cs="Times New Roman"/>
          <w:color w:val="333333"/>
          <w:sz w:val="32"/>
          <w:szCs w:val="32"/>
        </w:rPr>
        <w:t>•</w:t>
      </w:r>
      <w:r w:rsidRPr="00FA6273">
        <w:rPr>
          <w:rFonts w:ascii="Times New Roman" w:hAnsi="Times New Roman" w:cs="Times New Roman"/>
          <w:color w:val="333333"/>
          <w:sz w:val="32"/>
          <w:szCs w:val="32"/>
        </w:rPr>
        <w:t>天</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全部的商品数量</w:t>
      </w:r>
      <w:r w:rsidRPr="00FA6273">
        <w:rPr>
          <w:rFonts w:ascii="Times New Roman" w:hAnsi="Times New Roman" w:cs="Times New Roman"/>
          <w:color w:val="333333"/>
          <w:sz w:val="32"/>
          <w:szCs w:val="32"/>
        </w:rPr>
        <w:t>×19</w:t>
      </w:r>
      <w:r w:rsidRPr="00FA6273">
        <w:rPr>
          <w:rFonts w:ascii="Times New Roman" w:hAnsi="Times New Roman" w:cs="Times New Roman"/>
          <w:color w:val="333333"/>
          <w:sz w:val="32"/>
          <w:szCs w:val="32"/>
        </w:rPr>
        <w:t>天</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第三十三条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厂库未按规定的日发货速度发货，但按时完成了所有商品的发货，厂库应当向货主支付赔偿金。</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赔偿金金额</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该商品最近已交割月份交割结算价</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按日出</w:t>
      </w:r>
      <w:proofErr w:type="gramStart"/>
      <w:r w:rsidRPr="00FA6273">
        <w:rPr>
          <w:rFonts w:ascii="Times New Roman" w:hAnsi="Times New Roman" w:cs="Times New Roman"/>
          <w:color w:val="333333"/>
          <w:sz w:val="32"/>
          <w:szCs w:val="32"/>
        </w:rPr>
        <w:t>库速度</w:t>
      </w:r>
      <w:proofErr w:type="gramEnd"/>
      <w:r w:rsidRPr="00FA6273">
        <w:rPr>
          <w:rFonts w:ascii="Times New Roman" w:hAnsi="Times New Roman" w:cs="Times New Roman"/>
          <w:color w:val="333333"/>
          <w:sz w:val="32"/>
          <w:szCs w:val="32"/>
        </w:rPr>
        <w:t>应发而未发的商品数量</w:t>
      </w:r>
      <w:r w:rsidRPr="00FA6273">
        <w:rPr>
          <w:rFonts w:ascii="Times New Roman" w:hAnsi="Times New Roman" w:cs="Times New Roman"/>
          <w:color w:val="333333"/>
          <w:sz w:val="32"/>
          <w:szCs w:val="32"/>
        </w:rPr>
        <w:t>×5%</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第三十四条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厂库未按时完成所有商品的发货，在按本细则第三十三条规定进行赔偿的基础上，同时还应当向货主支付赔偿金，赔偿金金额</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该商品最近已交割月份交割结算价</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按商品总量应发而未发的商品数量</w:t>
      </w:r>
      <w:r w:rsidRPr="00FA6273">
        <w:rPr>
          <w:rFonts w:ascii="Times New Roman" w:hAnsi="Times New Roman" w:cs="Times New Roman"/>
          <w:color w:val="333333"/>
          <w:sz w:val="32"/>
          <w:szCs w:val="32"/>
        </w:rPr>
        <w:t>×5%</w:t>
      </w:r>
      <w:r w:rsidRPr="00FA6273">
        <w:rPr>
          <w:rFonts w:ascii="Times New Roman" w:hAnsi="Times New Roman" w:cs="Times New Roman"/>
          <w:color w:val="333333"/>
          <w:sz w:val="32"/>
          <w:szCs w:val="32"/>
        </w:rPr>
        <w:t>；并按照以下程序进行处理：</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（一）交易所向货主提供其它厂库或其它地点的相同质量和数量的现货商品，并承担调整交货地点和延期发货产生的全部费用。</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（二）交易所无法提供上述商品时，向货主返还货款并支付赔偿金。</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lastRenderedPageBreak/>
        <w:t xml:space="preserve">　　返还货款和赔偿金的金额</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该商品最近已交割月份交割结算价</w:t>
      </w:r>
      <w:r w:rsidRPr="00FA6273">
        <w:rPr>
          <w:rFonts w:ascii="Times New Roman" w:hAnsi="Times New Roman" w:cs="Times New Roman"/>
          <w:color w:val="333333"/>
          <w:sz w:val="32"/>
          <w:szCs w:val="32"/>
        </w:rPr>
        <w:t>×</w:t>
      </w:r>
      <w:r w:rsidRPr="00FA6273">
        <w:rPr>
          <w:rFonts w:ascii="Times New Roman" w:hAnsi="Times New Roman" w:cs="Times New Roman"/>
          <w:color w:val="333333"/>
          <w:sz w:val="32"/>
          <w:szCs w:val="32"/>
        </w:rPr>
        <w:t>按商品总量应发而未发的商品数量</w:t>
      </w:r>
      <w:r w:rsidRPr="00FA6273">
        <w:rPr>
          <w:rFonts w:ascii="Times New Roman" w:hAnsi="Times New Roman" w:cs="Times New Roman"/>
          <w:color w:val="333333"/>
          <w:sz w:val="32"/>
          <w:szCs w:val="32"/>
        </w:rPr>
        <w:t>×120%</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第三十五条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当厂库发生本细则第三十三条、第三十四条中的违约行为时，首先由厂库向货主支付赔偿金。厂库未支付的或者支付数额不足的，交易所按照《大连商品交易所标准仓单管理办法》相关规定处理。</w:t>
      </w:r>
    </w:p>
    <w:p w:rsidR="00E246F6" w:rsidRPr="00FA6273" w:rsidRDefault="00E246F6" w:rsidP="00E246F6">
      <w:pPr>
        <w:pStyle w:val="a7"/>
        <w:shd w:val="clear" w:color="auto" w:fill="FFFFFF"/>
        <w:spacing w:line="580" w:lineRule="exact"/>
        <w:jc w:val="center"/>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第四章</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附则</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第三十六条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违反本细则规定的，交易所按照《大连商品交易所违规处理办法》和其他业务规则的有关规定处理。</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第三十七条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本细则解释权属于大连商品交易所。</w:t>
      </w:r>
    </w:p>
    <w:p w:rsidR="00E246F6" w:rsidRPr="00FA6273" w:rsidRDefault="00E246F6" w:rsidP="00E246F6">
      <w:pPr>
        <w:pStyle w:val="a7"/>
        <w:shd w:val="clear" w:color="auto" w:fill="FFFFFF"/>
        <w:spacing w:line="580" w:lineRule="exact"/>
        <w:rPr>
          <w:rFonts w:ascii="Times New Roman" w:hAnsi="Times New Roman" w:cs="Times New Roman"/>
          <w:color w:val="333333"/>
          <w:sz w:val="32"/>
          <w:szCs w:val="32"/>
        </w:rPr>
      </w:pPr>
      <w:r w:rsidRPr="00FA6273">
        <w:rPr>
          <w:rFonts w:ascii="Times New Roman" w:hAnsi="Times New Roman" w:cs="Times New Roman"/>
          <w:color w:val="333333"/>
          <w:sz w:val="32"/>
          <w:szCs w:val="32"/>
        </w:rPr>
        <w:t xml:space="preserve">　　第三十八条</w:t>
      </w:r>
      <w:r w:rsidRPr="00FA6273">
        <w:rPr>
          <w:rFonts w:ascii="Times New Roman" w:hAnsi="Times New Roman" w:cs="Times New Roman"/>
          <w:color w:val="333333"/>
          <w:sz w:val="32"/>
          <w:szCs w:val="32"/>
        </w:rPr>
        <w:t xml:space="preserve"> </w:t>
      </w:r>
      <w:r w:rsidRPr="00FA6273">
        <w:rPr>
          <w:rFonts w:ascii="Times New Roman" w:hAnsi="Times New Roman" w:cs="Times New Roman"/>
          <w:color w:val="333333"/>
          <w:sz w:val="32"/>
          <w:szCs w:val="32"/>
        </w:rPr>
        <w:t>本细则自</w:t>
      </w:r>
      <w:r w:rsidRPr="00FA6273">
        <w:rPr>
          <w:rFonts w:ascii="Times New Roman" w:hAnsi="Times New Roman" w:cs="Times New Roman"/>
          <w:color w:val="333333"/>
          <w:sz w:val="32"/>
          <w:szCs w:val="32"/>
        </w:rPr>
        <w:t>2019</w:t>
      </w:r>
      <w:r w:rsidRPr="00FA6273">
        <w:rPr>
          <w:rFonts w:ascii="Times New Roman" w:hAnsi="Times New Roman" w:cs="Times New Roman"/>
          <w:color w:val="333333"/>
          <w:sz w:val="32"/>
          <w:szCs w:val="32"/>
        </w:rPr>
        <w:t>年</w:t>
      </w:r>
      <w:r w:rsidRPr="00FA6273">
        <w:rPr>
          <w:rFonts w:ascii="Times New Roman" w:hAnsi="Times New Roman" w:cs="Times New Roman"/>
          <w:color w:val="333333"/>
          <w:sz w:val="32"/>
          <w:szCs w:val="32"/>
        </w:rPr>
        <w:t>7</w:t>
      </w:r>
      <w:r w:rsidRPr="00FA6273">
        <w:rPr>
          <w:rFonts w:ascii="Times New Roman" w:hAnsi="Times New Roman" w:cs="Times New Roman"/>
          <w:color w:val="333333"/>
          <w:sz w:val="32"/>
          <w:szCs w:val="32"/>
        </w:rPr>
        <w:t>月</w:t>
      </w:r>
      <w:r w:rsidRPr="00FA6273">
        <w:rPr>
          <w:rFonts w:ascii="Times New Roman" w:hAnsi="Times New Roman" w:cs="Times New Roman"/>
          <w:color w:val="333333"/>
          <w:sz w:val="32"/>
          <w:szCs w:val="32"/>
        </w:rPr>
        <w:t>1</w:t>
      </w:r>
      <w:r w:rsidRPr="00FA6273">
        <w:rPr>
          <w:rFonts w:ascii="Times New Roman" w:hAnsi="Times New Roman" w:cs="Times New Roman"/>
          <w:color w:val="333333"/>
          <w:sz w:val="32"/>
          <w:szCs w:val="32"/>
        </w:rPr>
        <w:t>日起实施。</w:t>
      </w:r>
    </w:p>
    <w:p w:rsidR="00E246F6" w:rsidRDefault="00E246F6" w:rsidP="00E246F6">
      <w:pPr>
        <w:pStyle w:val="a7"/>
        <w:shd w:val="clear" w:color="auto" w:fill="FFFFFF"/>
        <w:spacing w:line="580" w:lineRule="exact"/>
        <w:ind w:firstLine="645"/>
        <w:rPr>
          <w:rFonts w:ascii="Times New Roman" w:hAnsi="Times New Roman" w:cs="Times New Roman"/>
          <w:color w:val="333333"/>
          <w:sz w:val="32"/>
          <w:szCs w:val="32"/>
        </w:rPr>
      </w:pPr>
    </w:p>
    <w:p w:rsidR="00E246F6" w:rsidRDefault="00E246F6" w:rsidP="00E246F6">
      <w:pPr>
        <w:pStyle w:val="a7"/>
        <w:shd w:val="clear" w:color="auto" w:fill="FFFFFF"/>
        <w:spacing w:line="580" w:lineRule="exact"/>
        <w:ind w:firstLine="645"/>
        <w:rPr>
          <w:rFonts w:ascii="Times New Roman" w:hAnsi="Times New Roman" w:cs="Times New Roman"/>
          <w:color w:val="333333"/>
          <w:sz w:val="32"/>
          <w:szCs w:val="32"/>
        </w:rPr>
      </w:pPr>
      <w:r w:rsidRPr="00FA6273">
        <w:rPr>
          <w:rFonts w:ascii="Times New Roman" w:hAnsi="Times New Roman" w:cs="Times New Roman"/>
          <w:color w:val="333333"/>
          <w:sz w:val="32"/>
          <w:szCs w:val="32"/>
        </w:rPr>
        <w:t>附件</w:t>
      </w:r>
      <w:r w:rsidRPr="00FA6273">
        <w:rPr>
          <w:rFonts w:ascii="Times New Roman" w:hAnsi="Times New Roman" w:cs="Times New Roman"/>
          <w:color w:val="333333"/>
          <w:sz w:val="32"/>
          <w:szCs w:val="32"/>
        </w:rPr>
        <w:t>1</w:t>
      </w:r>
      <w:r w:rsidRPr="00FA6273">
        <w:rPr>
          <w:rFonts w:ascii="Times New Roman" w:hAnsi="Times New Roman" w:cs="Times New Roman"/>
          <w:color w:val="333333"/>
          <w:sz w:val="32"/>
          <w:szCs w:val="32"/>
        </w:rPr>
        <w:t>：大连商品交易所豆油交割质量标准（</w:t>
      </w:r>
      <w:r w:rsidRPr="00FA6273">
        <w:rPr>
          <w:rFonts w:ascii="Times New Roman" w:hAnsi="Times New Roman" w:cs="Times New Roman"/>
          <w:color w:val="333333"/>
          <w:sz w:val="32"/>
          <w:szCs w:val="32"/>
        </w:rPr>
        <w:t xml:space="preserve">F/DCE </w:t>
      </w:r>
    </w:p>
    <w:p w:rsidR="00E246F6" w:rsidRPr="00FA6273" w:rsidRDefault="00E246F6" w:rsidP="00E246F6">
      <w:pPr>
        <w:pStyle w:val="a7"/>
        <w:shd w:val="clear" w:color="auto" w:fill="FFFFFF"/>
        <w:spacing w:line="580" w:lineRule="exact"/>
        <w:ind w:firstLineChars="600" w:firstLine="1920"/>
        <w:rPr>
          <w:rFonts w:ascii="Times New Roman" w:hAnsi="Times New Roman" w:cs="Times New Roman"/>
          <w:color w:val="333333"/>
          <w:sz w:val="32"/>
          <w:szCs w:val="32"/>
        </w:rPr>
      </w:pPr>
      <w:r w:rsidRPr="00FA6273">
        <w:rPr>
          <w:rFonts w:ascii="Times New Roman" w:hAnsi="Times New Roman" w:cs="Times New Roman"/>
          <w:color w:val="333333"/>
          <w:sz w:val="32"/>
          <w:szCs w:val="32"/>
        </w:rPr>
        <w:t>Y002-2020</w:t>
      </w:r>
      <w:r w:rsidRPr="00FA6273">
        <w:rPr>
          <w:rFonts w:ascii="Times New Roman" w:hAnsi="Times New Roman" w:cs="Times New Roman"/>
          <w:color w:val="333333"/>
          <w:sz w:val="32"/>
          <w:szCs w:val="32"/>
        </w:rPr>
        <w:t>）</w:t>
      </w:r>
    </w:p>
    <w:p w:rsidR="00E246F6" w:rsidRPr="00FA6273" w:rsidRDefault="00E246F6" w:rsidP="00E246F6">
      <w:pPr>
        <w:pStyle w:val="a7"/>
        <w:shd w:val="clear" w:color="auto" w:fill="FFFFFF"/>
        <w:spacing w:line="580" w:lineRule="exact"/>
        <w:ind w:firstLine="645"/>
        <w:rPr>
          <w:rFonts w:ascii="Times New Roman" w:hAnsi="Times New Roman" w:cs="Times New Roman"/>
          <w:color w:val="333333"/>
          <w:sz w:val="32"/>
          <w:szCs w:val="32"/>
        </w:rPr>
      </w:pPr>
      <w:r w:rsidRPr="00FA6273">
        <w:rPr>
          <w:rFonts w:ascii="Times New Roman" w:hAnsi="Times New Roman" w:cs="Times New Roman"/>
          <w:color w:val="333333"/>
          <w:sz w:val="32"/>
          <w:szCs w:val="32"/>
        </w:rPr>
        <w:t>附件</w:t>
      </w:r>
      <w:r w:rsidRPr="00FA6273">
        <w:rPr>
          <w:rFonts w:ascii="Times New Roman" w:hAnsi="Times New Roman" w:cs="Times New Roman"/>
          <w:color w:val="333333"/>
          <w:sz w:val="32"/>
          <w:szCs w:val="32"/>
        </w:rPr>
        <w:t>2</w:t>
      </w:r>
      <w:r w:rsidRPr="00FA6273">
        <w:rPr>
          <w:rFonts w:ascii="Times New Roman" w:hAnsi="Times New Roman" w:cs="Times New Roman"/>
          <w:color w:val="333333"/>
          <w:sz w:val="32"/>
          <w:szCs w:val="32"/>
        </w:rPr>
        <w:t>：大连商品交易所豆油指定交割仓库名录（略）</w:t>
      </w:r>
    </w:p>
    <w:p w:rsidR="00E246F6" w:rsidRPr="00FA6273" w:rsidRDefault="00E246F6" w:rsidP="00E246F6">
      <w:pPr>
        <w:pStyle w:val="a7"/>
        <w:shd w:val="clear" w:color="auto" w:fill="FFFFFF"/>
        <w:spacing w:line="580" w:lineRule="exact"/>
        <w:ind w:firstLine="645"/>
        <w:rPr>
          <w:rFonts w:ascii="Times New Roman" w:hAnsi="Times New Roman" w:cs="Times New Roman"/>
          <w:color w:val="333333"/>
          <w:sz w:val="32"/>
          <w:szCs w:val="32"/>
        </w:rPr>
      </w:pPr>
      <w:r w:rsidRPr="00FA6273">
        <w:rPr>
          <w:rFonts w:ascii="Times New Roman" w:hAnsi="Times New Roman" w:cs="Times New Roman"/>
          <w:color w:val="333333"/>
          <w:sz w:val="32"/>
          <w:szCs w:val="32"/>
        </w:rPr>
        <w:t>附件</w:t>
      </w:r>
      <w:r w:rsidRPr="00FA6273">
        <w:rPr>
          <w:rFonts w:ascii="Times New Roman" w:hAnsi="Times New Roman" w:cs="Times New Roman"/>
          <w:color w:val="333333"/>
          <w:sz w:val="32"/>
          <w:szCs w:val="32"/>
        </w:rPr>
        <w:t>3</w:t>
      </w:r>
      <w:r w:rsidRPr="00FA6273">
        <w:rPr>
          <w:rFonts w:ascii="Times New Roman" w:hAnsi="Times New Roman" w:cs="Times New Roman"/>
          <w:color w:val="333333"/>
          <w:sz w:val="32"/>
          <w:szCs w:val="32"/>
        </w:rPr>
        <w:t>：大连商品交易所豆油动态升贴水标准（略）</w:t>
      </w:r>
    </w:p>
    <w:p w:rsidR="00E246F6" w:rsidRPr="00FA6273" w:rsidRDefault="00E246F6" w:rsidP="00E246F6">
      <w:pPr>
        <w:spacing w:line="580" w:lineRule="exact"/>
        <w:sectPr w:rsidR="00E246F6" w:rsidRPr="00FA6273">
          <w:footerReference w:type="default" r:id="rId6"/>
          <w:pgSz w:w="11906" w:h="16838"/>
          <w:pgMar w:top="1440" w:right="1800" w:bottom="1440" w:left="1800" w:header="851" w:footer="992" w:gutter="0"/>
          <w:cols w:space="425"/>
          <w:docGrid w:type="lines" w:linePitch="312"/>
        </w:sectPr>
      </w:pPr>
    </w:p>
    <w:p w:rsidR="00E246F6" w:rsidRPr="00FA6273" w:rsidRDefault="00E246F6" w:rsidP="00E246F6">
      <w:pPr>
        <w:widowControl/>
        <w:spacing w:line="580" w:lineRule="exact"/>
        <w:jc w:val="left"/>
        <w:rPr>
          <w:rFonts w:eastAsia="黑体"/>
          <w:szCs w:val="32"/>
        </w:rPr>
      </w:pPr>
      <w:r w:rsidRPr="00FA6273">
        <w:rPr>
          <w:rFonts w:eastAsia="黑体"/>
          <w:szCs w:val="32"/>
        </w:rPr>
        <w:lastRenderedPageBreak/>
        <w:t>附件</w:t>
      </w:r>
      <w:r w:rsidRPr="00FA6273">
        <w:rPr>
          <w:rFonts w:eastAsia="黑体"/>
          <w:szCs w:val="32"/>
        </w:rPr>
        <w:t>1</w:t>
      </w:r>
    </w:p>
    <w:p w:rsidR="00E246F6" w:rsidRPr="00FA6273" w:rsidRDefault="00E246F6" w:rsidP="00E246F6">
      <w:pPr>
        <w:widowControl/>
        <w:adjustRightInd w:val="0"/>
        <w:snapToGrid w:val="0"/>
        <w:spacing w:beforeLines="100" w:before="312" w:afterLines="100" w:after="312" w:line="580" w:lineRule="exact"/>
        <w:jc w:val="center"/>
        <w:outlineLvl w:val="0"/>
        <w:rPr>
          <w:rFonts w:eastAsia="宋体"/>
          <w:b/>
          <w:bCs/>
          <w:kern w:val="0"/>
          <w:sz w:val="40"/>
          <w:szCs w:val="32"/>
          <w:lang w:val="zh-CN"/>
        </w:rPr>
      </w:pPr>
      <w:r w:rsidRPr="00FA6273">
        <w:rPr>
          <w:rFonts w:eastAsia="宋体"/>
          <w:b/>
          <w:bCs/>
          <w:kern w:val="0"/>
          <w:sz w:val="40"/>
          <w:szCs w:val="32"/>
          <w:lang w:val="zh-CN"/>
        </w:rPr>
        <w:t>大连商品交易所豆油交割质量标准</w:t>
      </w:r>
    </w:p>
    <w:p w:rsidR="00E246F6" w:rsidRPr="00FA6273" w:rsidRDefault="00E246F6" w:rsidP="00E246F6">
      <w:pPr>
        <w:widowControl/>
        <w:adjustRightInd w:val="0"/>
        <w:snapToGrid w:val="0"/>
        <w:spacing w:line="580" w:lineRule="exact"/>
        <w:jc w:val="center"/>
        <w:rPr>
          <w:bCs/>
          <w:szCs w:val="32"/>
        </w:rPr>
      </w:pPr>
      <w:r w:rsidRPr="00FA6273">
        <w:rPr>
          <w:bCs/>
          <w:szCs w:val="32"/>
        </w:rPr>
        <w:t>（</w:t>
      </w:r>
      <w:r w:rsidRPr="00FA6273">
        <w:rPr>
          <w:bCs/>
          <w:szCs w:val="32"/>
        </w:rPr>
        <w:t>F/DCE Y002-2020</w:t>
      </w:r>
      <w:r w:rsidRPr="00FA6273">
        <w:rPr>
          <w:bCs/>
          <w:szCs w:val="32"/>
        </w:rPr>
        <w:t>）</w:t>
      </w:r>
    </w:p>
    <w:p w:rsidR="00E246F6" w:rsidRPr="00FA6273" w:rsidRDefault="00E246F6" w:rsidP="00E246F6">
      <w:pPr>
        <w:widowControl/>
        <w:spacing w:line="580" w:lineRule="exact"/>
        <w:ind w:firstLineChars="200" w:firstLine="640"/>
        <w:jc w:val="center"/>
        <w:rPr>
          <w:bCs/>
          <w:szCs w:val="32"/>
        </w:rPr>
      </w:pPr>
    </w:p>
    <w:p w:rsidR="00E246F6" w:rsidRPr="00FA6273" w:rsidRDefault="00E246F6" w:rsidP="00E246F6">
      <w:pPr>
        <w:widowControl/>
        <w:adjustRightInd w:val="0"/>
        <w:snapToGrid w:val="0"/>
        <w:spacing w:line="580" w:lineRule="exact"/>
        <w:ind w:firstLineChars="200" w:firstLine="640"/>
        <w:rPr>
          <w:szCs w:val="32"/>
        </w:rPr>
      </w:pPr>
      <w:r w:rsidRPr="00FA6273">
        <w:rPr>
          <w:szCs w:val="32"/>
        </w:rPr>
        <w:t>1</w:t>
      </w:r>
      <w:r w:rsidRPr="00FA6273">
        <w:rPr>
          <w:szCs w:val="32"/>
        </w:rPr>
        <w:t>．主题内容与适用范围</w:t>
      </w:r>
      <w:r w:rsidRPr="00FA6273">
        <w:rPr>
          <w:szCs w:val="32"/>
        </w:rPr>
        <w:t xml:space="preserve"> </w:t>
      </w:r>
    </w:p>
    <w:p w:rsidR="00E246F6" w:rsidRPr="00FA6273" w:rsidRDefault="00E246F6" w:rsidP="00E246F6">
      <w:pPr>
        <w:widowControl/>
        <w:adjustRightInd w:val="0"/>
        <w:snapToGrid w:val="0"/>
        <w:spacing w:line="580" w:lineRule="exact"/>
        <w:ind w:firstLineChars="200" w:firstLine="640"/>
        <w:rPr>
          <w:szCs w:val="32"/>
        </w:rPr>
      </w:pPr>
      <w:r w:rsidRPr="00FA6273">
        <w:rPr>
          <w:szCs w:val="32"/>
        </w:rPr>
        <w:t xml:space="preserve">1.1 </w:t>
      </w:r>
      <w:r w:rsidRPr="00FA6273">
        <w:rPr>
          <w:szCs w:val="32"/>
        </w:rPr>
        <w:t>本标准规定了用于大连商品交易所交割的豆油质量指标与分级标准。</w:t>
      </w:r>
    </w:p>
    <w:p w:rsidR="00E246F6" w:rsidRPr="00FA6273" w:rsidRDefault="00E246F6" w:rsidP="00E246F6">
      <w:pPr>
        <w:widowControl/>
        <w:adjustRightInd w:val="0"/>
        <w:snapToGrid w:val="0"/>
        <w:spacing w:line="580" w:lineRule="exact"/>
        <w:ind w:firstLineChars="200" w:firstLine="640"/>
        <w:rPr>
          <w:szCs w:val="32"/>
        </w:rPr>
      </w:pPr>
      <w:r w:rsidRPr="00FA6273">
        <w:rPr>
          <w:szCs w:val="32"/>
        </w:rPr>
        <w:t xml:space="preserve">1.2 </w:t>
      </w:r>
      <w:r w:rsidRPr="00FA6273">
        <w:rPr>
          <w:szCs w:val="32"/>
        </w:rPr>
        <w:t>大连商品交易所豆油期货合约中所规定的大豆原油是指以大豆为原料加工的不能供人类直接食用的大豆油，产地不限。</w:t>
      </w:r>
    </w:p>
    <w:p w:rsidR="00E246F6" w:rsidRPr="00FA6273" w:rsidRDefault="00E246F6" w:rsidP="00E246F6">
      <w:pPr>
        <w:widowControl/>
        <w:adjustRightInd w:val="0"/>
        <w:snapToGrid w:val="0"/>
        <w:spacing w:line="580" w:lineRule="exact"/>
        <w:ind w:firstLineChars="200" w:firstLine="640"/>
        <w:rPr>
          <w:szCs w:val="32"/>
        </w:rPr>
      </w:pPr>
      <w:r w:rsidRPr="00FA6273">
        <w:rPr>
          <w:szCs w:val="32"/>
        </w:rPr>
        <w:t xml:space="preserve">1.3 </w:t>
      </w:r>
      <w:r w:rsidRPr="00FA6273">
        <w:rPr>
          <w:szCs w:val="32"/>
        </w:rPr>
        <w:t>本标准适用于大连商品交易所豆油期货合约交割标准品。</w:t>
      </w:r>
      <w:r w:rsidRPr="00FA6273">
        <w:rPr>
          <w:szCs w:val="32"/>
        </w:rPr>
        <w:t xml:space="preserve"> </w:t>
      </w:r>
    </w:p>
    <w:p w:rsidR="00E246F6" w:rsidRPr="00FA6273" w:rsidRDefault="00E246F6" w:rsidP="00E246F6">
      <w:pPr>
        <w:widowControl/>
        <w:adjustRightInd w:val="0"/>
        <w:snapToGrid w:val="0"/>
        <w:spacing w:line="580" w:lineRule="exact"/>
        <w:ind w:firstLineChars="200" w:firstLine="640"/>
        <w:rPr>
          <w:szCs w:val="32"/>
        </w:rPr>
      </w:pPr>
      <w:r w:rsidRPr="00FA6273">
        <w:rPr>
          <w:szCs w:val="32"/>
        </w:rPr>
        <w:t>2</w:t>
      </w:r>
      <w:r w:rsidRPr="00FA6273">
        <w:rPr>
          <w:szCs w:val="32"/>
        </w:rPr>
        <w:t>．规范性引用文件</w:t>
      </w:r>
    </w:p>
    <w:p w:rsidR="00E246F6" w:rsidRPr="00FA6273" w:rsidRDefault="00E246F6" w:rsidP="00E246F6">
      <w:pPr>
        <w:widowControl/>
        <w:adjustRightInd w:val="0"/>
        <w:snapToGrid w:val="0"/>
        <w:spacing w:line="580" w:lineRule="exact"/>
        <w:ind w:firstLineChars="200" w:firstLine="640"/>
        <w:rPr>
          <w:szCs w:val="32"/>
        </w:rPr>
      </w:pPr>
      <w:r w:rsidRPr="00FA6273">
        <w:rPr>
          <w:szCs w:val="32"/>
        </w:rPr>
        <w:t>下列文件中的条款通过本标准的引用而成为本标准的条款。凡是注日期的引用文件，其随后所有的修改单（不包括勘误的内容）或修订版均不适用于本标准。凡是不注日期的引用文件，其最新版本适用于本标准。</w:t>
      </w:r>
    </w:p>
    <w:p w:rsidR="00E246F6" w:rsidRPr="00FA6273" w:rsidRDefault="00E246F6" w:rsidP="00E246F6">
      <w:pPr>
        <w:widowControl/>
        <w:adjustRightInd w:val="0"/>
        <w:snapToGrid w:val="0"/>
        <w:spacing w:line="580" w:lineRule="exact"/>
        <w:ind w:firstLineChars="200" w:firstLine="640"/>
        <w:rPr>
          <w:szCs w:val="32"/>
        </w:rPr>
      </w:pPr>
      <w:r w:rsidRPr="00FA6273">
        <w:rPr>
          <w:szCs w:val="32"/>
        </w:rPr>
        <w:t xml:space="preserve">GB/T 1535-2017 </w:t>
      </w:r>
      <w:r w:rsidRPr="00FA6273">
        <w:rPr>
          <w:szCs w:val="32"/>
        </w:rPr>
        <w:t>大豆油</w:t>
      </w:r>
    </w:p>
    <w:p w:rsidR="00E246F6" w:rsidRPr="00FA6273" w:rsidRDefault="00E246F6" w:rsidP="00E246F6">
      <w:pPr>
        <w:widowControl/>
        <w:adjustRightInd w:val="0"/>
        <w:snapToGrid w:val="0"/>
        <w:spacing w:line="580" w:lineRule="exact"/>
        <w:ind w:firstLineChars="200" w:firstLine="640"/>
        <w:rPr>
          <w:szCs w:val="32"/>
        </w:rPr>
      </w:pPr>
      <w:r w:rsidRPr="00FA6273">
        <w:rPr>
          <w:szCs w:val="32"/>
        </w:rPr>
        <w:t xml:space="preserve">GB/T 5537-2008 </w:t>
      </w:r>
      <w:r w:rsidRPr="00FA6273">
        <w:rPr>
          <w:szCs w:val="32"/>
        </w:rPr>
        <w:t>粮油检验</w:t>
      </w:r>
      <w:r w:rsidRPr="00FA6273">
        <w:rPr>
          <w:szCs w:val="32"/>
        </w:rPr>
        <w:t xml:space="preserve"> </w:t>
      </w:r>
      <w:r w:rsidRPr="00FA6273">
        <w:rPr>
          <w:szCs w:val="32"/>
        </w:rPr>
        <w:t>磷脂含量的测定</w:t>
      </w:r>
    </w:p>
    <w:p w:rsidR="00E246F6" w:rsidRPr="00FA6273" w:rsidRDefault="00E246F6" w:rsidP="00E246F6">
      <w:pPr>
        <w:widowControl/>
        <w:adjustRightInd w:val="0"/>
        <w:snapToGrid w:val="0"/>
        <w:spacing w:line="580" w:lineRule="exact"/>
        <w:ind w:firstLineChars="200" w:firstLine="640"/>
        <w:rPr>
          <w:szCs w:val="32"/>
        </w:rPr>
      </w:pPr>
      <w:r w:rsidRPr="00FA6273">
        <w:rPr>
          <w:szCs w:val="32"/>
        </w:rPr>
        <w:t>3</w:t>
      </w:r>
      <w:r w:rsidRPr="00FA6273">
        <w:rPr>
          <w:szCs w:val="32"/>
        </w:rPr>
        <w:t>．术语和定义</w:t>
      </w:r>
    </w:p>
    <w:p w:rsidR="00E246F6" w:rsidRPr="00FA6273" w:rsidRDefault="00E246F6" w:rsidP="00E246F6">
      <w:pPr>
        <w:widowControl/>
        <w:adjustRightInd w:val="0"/>
        <w:snapToGrid w:val="0"/>
        <w:spacing w:line="580" w:lineRule="exact"/>
        <w:ind w:firstLineChars="200" w:firstLine="640"/>
        <w:rPr>
          <w:szCs w:val="32"/>
        </w:rPr>
      </w:pPr>
      <w:r w:rsidRPr="00FA6273">
        <w:rPr>
          <w:szCs w:val="32"/>
        </w:rPr>
        <w:t>3.1</w:t>
      </w:r>
      <w:r w:rsidRPr="00FA6273">
        <w:rPr>
          <w:szCs w:val="32"/>
        </w:rPr>
        <w:t>磷脂：符合</w:t>
      </w:r>
      <w:r w:rsidRPr="00FA6273">
        <w:rPr>
          <w:szCs w:val="32"/>
        </w:rPr>
        <w:t>GB/T 5537-2008</w:t>
      </w:r>
      <w:r w:rsidRPr="00FA6273">
        <w:rPr>
          <w:szCs w:val="32"/>
        </w:rPr>
        <w:t>中的相关规定。</w:t>
      </w:r>
    </w:p>
    <w:p w:rsidR="00E246F6" w:rsidRPr="00FA6273" w:rsidRDefault="00E246F6" w:rsidP="00E246F6">
      <w:pPr>
        <w:widowControl/>
        <w:adjustRightInd w:val="0"/>
        <w:snapToGrid w:val="0"/>
        <w:spacing w:line="580" w:lineRule="exact"/>
        <w:ind w:firstLineChars="200" w:firstLine="640"/>
        <w:rPr>
          <w:szCs w:val="32"/>
        </w:rPr>
      </w:pPr>
      <w:r w:rsidRPr="00FA6273">
        <w:rPr>
          <w:szCs w:val="32"/>
        </w:rPr>
        <w:lastRenderedPageBreak/>
        <w:t xml:space="preserve">3.2 </w:t>
      </w:r>
      <w:r w:rsidRPr="00FA6273">
        <w:rPr>
          <w:szCs w:val="32"/>
        </w:rPr>
        <w:t>其他术语和定义：符合</w:t>
      </w:r>
      <w:r w:rsidRPr="00FA6273">
        <w:rPr>
          <w:szCs w:val="32"/>
        </w:rPr>
        <w:t>GB/T 1535-2017</w:t>
      </w:r>
      <w:r w:rsidRPr="00FA6273">
        <w:rPr>
          <w:szCs w:val="32"/>
        </w:rPr>
        <w:t>中的相关规定。</w:t>
      </w:r>
    </w:p>
    <w:p w:rsidR="00E246F6" w:rsidRPr="00FA6273" w:rsidRDefault="00E246F6" w:rsidP="00E246F6">
      <w:pPr>
        <w:widowControl/>
        <w:adjustRightInd w:val="0"/>
        <w:snapToGrid w:val="0"/>
        <w:spacing w:line="580" w:lineRule="exact"/>
        <w:ind w:firstLineChars="200" w:firstLine="640"/>
        <w:rPr>
          <w:szCs w:val="32"/>
        </w:rPr>
      </w:pPr>
      <w:r w:rsidRPr="00FA6273">
        <w:rPr>
          <w:szCs w:val="32"/>
        </w:rPr>
        <w:t>4.</w:t>
      </w:r>
      <w:r w:rsidRPr="00FA6273">
        <w:rPr>
          <w:szCs w:val="32"/>
        </w:rPr>
        <w:t>基本组成和主要物理参数</w:t>
      </w:r>
    </w:p>
    <w:p w:rsidR="00E246F6" w:rsidRPr="00FA6273" w:rsidRDefault="00E246F6" w:rsidP="00E246F6">
      <w:pPr>
        <w:widowControl/>
        <w:adjustRightInd w:val="0"/>
        <w:snapToGrid w:val="0"/>
        <w:spacing w:line="580" w:lineRule="exact"/>
        <w:ind w:firstLineChars="200" w:firstLine="640"/>
        <w:rPr>
          <w:szCs w:val="32"/>
        </w:rPr>
      </w:pPr>
      <w:r w:rsidRPr="00FA6273">
        <w:rPr>
          <w:szCs w:val="32"/>
        </w:rPr>
        <w:t>符合</w:t>
      </w:r>
      <w:r w:rsidRPr="00FA6273">
        <w:rPr>
          <w:szCs w:val="32"/>
        </w:rPr>
        <w:t>GB/T 1535-2017</w:t>
      </w:r>
      <w:r w:rsidRPr="00FA6273">
        <w:rPr>
          <w:szCs w:val="32"/>
        </w:rPr>
        <w:t>中的相关规定。</w:t>
      </w:r>
    </w:p>
    <w:p w:rsidR="00E246F6" w:rsidRPr="00FA6273" w:rsidRDefault="00E246F6" w:rsidP="00E246F6">
      <w:pPr>
        <w:widowControl/>
        <w:adjustRightInd w:val="0"/>
        <w:snapToGrid w:val="0"/>
        <w:spacing w:line="580" w:lineRule="exact"/>
        <w:ind w:firstLineChars="200" w:firstLine="640"/>
        <w:rPr>
          <w:szCs w:val="32"/>
        </w:rPr>
      </w:pPr>
      <w:r w:rsidRPr="00FA6273">
        <w:rPr>
          <w:szCs w:val="32"/>
        </w:rPr>
        <w:t>5</w:t>
      </w:r>
      <w:r w:rsidRPr="00FA6273">
        <w:rPr>
          <w:szCs w:val="32"/>
        </w:rPr>
        <w:t>．质量要求</w:t>
      </w:r>
    </w:p>
    <w:p w:rsidR="00E246F6" w:rsidRPr="00FA6273" w:rsidRDefault="00E246F6" w:rsidP="00E246F6">
      <w:pPr>
        <w:widowControl/>
        <w:adjustRightInd w:val="0"/>
        <w:snapToGrid w:val="0"/>
        <w:spacing w:line="580" w:lineRule="exact"/>
        <w:ind w:firstLineChars="200" w:firstLine="640"/>
        <w:rPr>
          <w:szCs w:val="32"/>
        </w:rPr>
      </w:pPr>
      <w:r w:rsidRPr="00FA6273">
        <w:rPr>
          <w:szCs w:val="32"/>
        </w:rPr>
        <w:t xml:space="preserve">5.1 </w:t>
      </w:r>
      <w:r w:rsidRPr="00FA6273">
        <w:rPr>
          <w:szCs w:val="32"/>
        </w:rPr>
        <w:t>质量指标：</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3976"/>
      </w:tblGrid>
      <w:tr w:rsidR="00E246F6" w:rsidRPr="00FA6273" w:rsidTr="00ED08CE">
        <w:trPr>
          <w:jc w:val="center"/>
        </w:trPr>
        <w:tc>
          <w:tcPr>
            <w:tcW w:w="4743" w:type="dxa"/>
            <w:tcBorders>
              <w:top w:val="single" w:sz="4" w:space="0" w:color="auto"/>
              <w:left w:val="single" w:sz="4" w:space="0" w:color="auto"/>
              <w:bottom w:val="single" w:sz="4" w:space="0" w:color="auto"/>
              <w:right w:val="single" w:sz="4" w:space="0" w:color="auto"/>
            </w:tcBorders>
          </w:tcPr>
          <w:p w:rsidR="00E246F6" w:rsidRPr="00FA6273" w:rsidRDefault="00E246F6" w:rsidP="00ED08CE">
            <w:pPr>
              <w:widowControl/>
              <w:spacing w:line="580" w:lineRule="exact"/>
              <w:jc w:val="center"/>
              <w:rPr>
                <w:color w:val="000000"/>
                <w:sz w:val="28"/>
                <w:szCs w:val="28"/>
              </w:rPr>
            </w:pPr>
            <w:r w:rsidRPr="00FA6273">
              <w:rPr>
                <w:color w:val="000000"/>
                <w:sz w:val="28"/>
                <w:szCs w:val="28"/>
              </w:rPr>
              <w:t>项目</w:t>
            </w:r>
          </w:p>
        </w:tc>
        <w:tc>
          <w:tcPr>
            <w:tcW w:w="3976" w:type="dxa"/>
            <w:tcBorders>
              <w:top w:val="single" w:sz="4" w:space="0" w:color="auto"/>
              <w:left w:val="single" w:sz="4" w:space="0" w:color="auto"/>
              <w:bottom w:val="single" w:sz="4" w:space="0" w:color="auto"/>
              <w:right w:val="single" w:sz="4" w:space="0" w:color="auto"/>
            </w:tcBorders>
          </w:tcPr>
          <w:p w:rsidR="00E246F6" w:rsidRPr="00FA6273" w:rsidRDefault="00E246F6" w:rsidP="00ED08CE">
            <w:pPr>
              <w:widowControl/>
              <w:adjustRightInd w:val="0"/>
              <w:snapToGrid w:val="0"/>
              <w:spacing w:line="580" w:lineRule="exact"/>
              <w:jc w:val="center"/>
              <w:rPr>
                <w:color w:val="000000"/>
                <w:sz w:val="28"/>
                <w:szCs w:val="28"/>
              </w:rPr>
            </w:pPr>
            <w:r w:rsidRPr="00FA6273">
              <w:rPr>
                <w:color w:val="000000"/>
                <w:sz w:val="28"/>
                <w:szCs w:val="28"/>
              </w:rPr>
              <w:t>质量指标</w:t>
            </w:r>
          </w:p>
        </w:tc>
      </w:tr>
      <w:tr w:rsidR="00E246F6" w:rsidRPr="00FA6273" w:rsidTr="00ED08CE">
        <w:trPr>
          <w:jc w:val="center"/>
        </w:trPr>
        <w:tc>
          <w:tcPr>
            <w:tcW w:w="4743" w:type="dxa"/>
            <w:tcBorders>
              <w:top w:val="single" w:sz="4" w:space="0" w:color="auto"/>
              <w:left w:val="single" w:sz="4" w:space="0" w:color="auto"/>
              <w:bottom w:val="single" w:sz="4" w:space="0" w:color="auto"/>
              <w:right w:val="single" w:sz="4" w:space="0" w:color="auto"/>
            </w:tcBorders>
          </w:tcPr>
          <w:p w:rsidR="00E246F6" w:rsidRPr="00FA6273" w:rsidRDefault="00E246F6" w:rsidP="00ED08CE">
            <w:pPr>
              <w:widowControl/>
              <w:spacing w:line="580" w:lineRule="exact"/>
              <w:jc w:val="center"/>
              <w:rPr>
                <w:color w:val="000000"/>
                <w:sz w:val="28"/>
                <w:szCs w:val="28"/>
              </w:rPr>
            </w:pPr>
            <w:r w:rsidRPr="00FA6273">
              <w:rPr>
                <w:color w:val="000000"/>
                <w:sz w:val="28"/>
                <w:szCs w:val="28"/>
              </w:rPr>
              <w:t>气味、滋味</w:t>
            </w:r>
          </w:p>
        </w:tc>
        <w:tc>
          <w:tcPr>
            <w:tcW w:w="3976" w:type="dxa"/>
            <w:tcBorders>
              <w:top w:val="single" w:sz="4" w:space="0" w:color="auto"/>
              <w:left w:val="single" w:sz="4" w:space="0" w:color="auto"/>
              <w:bottom w:val="single" w:sz="4" w:space="0" w:color="auto"/>
              <w:right w:val="single" w:sz="4" w:space="0" w:color="auto"/>
            </w:tcBorders>
          </w:tcPr>
          <w:p w:rsidR="00E246F6" w:rsidRPr="00FA6273" w:rsidRDefault="00E246F6" w:rsidP="00ED08CE">
            <w:pPr>
              <w:widowControl/>
              <w:adjustRightInd w:val="0"/>
              <w:snapToGrid w:val="0"/>
              <w:spacing w:line="580" w:lineRule="exact"/>
              <w:jc w:val="center"/>
              <w:rPr>
                <w:color w:val="000000"/>
                <w:sz w:val="28"/>
                <w:szCs w:val="28"/>
              </w:rPr>
            </w:pPr>
            <w:r w:rsidRPr="00FA6273">
              <w:rPr>
                <w:color w:val="000000"/>
                <w:sz w:val="28"/>
                <w:szCs w:val="28"/>
              </w:rPr>
              <w:t>具有大豆原油固有的气味和滋味，无异味</w:t>
            </w:r>
          </w:p>
        </w:tc>
      </w:tr>
      <w:tr w:rsidR="00E246F6" w:rsidRPr="00FA6273" w:rsidTr="00ED08CE">
        <w:trPr>
          <w:jc w:val="center"/>
        </w:trPr>
        <w:tc>
          <w:tcPr>
            <w:tcW w:w="4743" w:type="dxa"/>
            <w:tcBorders>
              <w:top w:val="single" w:sz="4" w:space="0" w:color="auto"/>
              <w:left w:val="single" w:sz="4" w:space="0" w:color="auto"/>
              <w:bottom w:val="single" w:sz="4" w:space="0" w:color="auto"/>
              <w:right w:val="single" w:sz="4" w:space="0" w:color="auto"/>
            </w:tcBorders>
          </w:tcPr>
          <w:p w:rsidR="00E246F6" w:rsidRPr="00FA6273" w:rsidRDefault="00E246F6" w:rsidP="00ED08CE">
            <w:pPr>
              <w:widowControl/>
              <w:spacing w:line="580" w:lineRule="exact"/>
              <w:jc w:val="center"/>
              <w:rPr>
                <w:color w:val="000000"/>
                <w:sz w:val="28"/>
                <w:szCs w:val="28"/>
              </w:rPr>
            </w:pPr>
            <w:r w:rsidRPr="00FA6273">
              <w:rPr>
                <w:color w:val="000000"/>
                <w:sz w:val="28"/>
                <w:szCs w:val="28"/>
              </w:rPr>
              <w:t>水分及挥发物含量</w:t>
            </w:r>
            <w:r w:rsidRPr="00FA6273">
              <w:rPr>
                <w:color w:val="000000"/>
                <w:sz w:val="28"/>
                <w:szCs w:val="28"/>
              </w:rPr>
              <w:t>/%≤</w:t>
            </w:r>
          </w:p>
        </w:tc>
        <w:tc>
          <w:tcPr>
            <w:tcW w:w="3976" w:type="dxa"/>
            <w:tcBorders>
              <w:top w:val="single" w:sz="4" w:space="0" w:color="auto"/>
              <w:left w:val="single" w:sz="4" w:space="0" w:color="auto"/>
              <w:bottom w:val="single" w:sz="4" w:space="0" w:color="auto"/>
              <w:right w:val="single" w:sz="4" w:space="0" w:color="auto"/>
            </w:tcBorders>
          </w:tcPr>
          <w:p w:rsidR="00E246F6" w:rsidRPr="00FA6273" w:rsidRDefault="00E246F6" w:rsidP="00ED08CE">
            <w:pPr>
              <w:widowControl/>
              <w:adjustRightInd w:val="0"/>
              <w:snapToGrid w:val="0"/>
              <w:spacing w:line="580" w:lineRule="exact"/>
              <w:jc w:val="center"/>
              <w:rPr>
                <w:color w:val="000000"/>
                <w:sz w:val="28"/>
                <w:szCs w:val="28"/>
              </w:rPr>
            </w:pPr>
            <w:r w:rsidRPr="00FA6273">
              <w:rPr>
                <w:color w:val="000000"/>
                <w:sz w:val="28"/>
                <w:szCs w:val="28"/>
              </w:rPr>
              <w:t>0.20</w:t>
            </w:r>
          </w:p>
        </w:tc>
      </w:tr>
      <w:tr w:rsidR="00E246F6" w:rsidRPr="00FA6273" w:rsidTr="00ED08CE">
        <w:trPr>
          <w:jc w:val="center"/>
        </w:trPr>
        <w:tc>
          <w:tcPr>
            <w:tcW w:w="4743" w:type="dxa"/>
            <w:tcBorders>
              <w:top w:val="single" w:sz="4" w:space="0" w:color="auto"/>
              <w:left w:val="single" w:sz="4" w:space="0" w:color="auto"/>
              <w:bottom w:val="single" w:sz="4" w:space="0" w:color="auto"/>
              <w:right w:val="single" w:sz="4" w:space="0" w:color="auto"/>
            </w:tcBorders>
          </w:tcPr>
          <w:p w:rsidR="00E246F6" w:rsidRPr="00FA6273" w:rsidRDefault="00E246F6" w:rsidP="00ED08CE">
            <w:pPr>
              <w:widowControl/>
              <w:spacing w:line="580" w:lineRule="exact"/>
              <w:jc w:val="center"/>
              <w:rPr>
                <w:color w:val="000000"/>
                <w:sz w:val="28"/>
                <w:szCs w:val="28"/>
              </w:rPr>
            </w:pPr>
            <w:r w:rsidRPr="00FA6273">
              <w:rPr>
                <w:color w:val="000000"/>
                <w:sz w:val="28"/>
                <w:szCs w:val="28"/>
              </w:rPr>
              <w:t>不溶性杂质含量</w:t>
            </w:r>
            <w:r w:rsidRPr="00FA6273">
              <w:rPr>
                <w:color w:val="000000"/>
                <w:sz w:val="28"/>
                <w:szCs w:val="28"/>
              </w:rPr>
              <w:t>/%≤</w:t>
            </w:r>
          </w:p>
        </w:tc>
        <w:tc>
          <w:tcPr>
            <w:tcW w:w="3976" w:type="dxa"/>
            <w:tcBorders>
              <w:top w:val="single" w:sz="4" w:space="0" w:color="auto"/>
              <w:left w:val="single" w:sz="4" w:space="0" w:color="auto"/>
              <w:bottom w:val="single" w:sz="4" w:space="0" w:color="auto"/>
              <w:right w:val="single" w:sz="4" w:space="0" w:color="auto"/>
            </w:tcBorders>
          </w:tcPr>
          <w:p w:rsidR="00E246F6" w:rsidRPr="00FA6273" w:rsidRDefault="00E246F6" w:rsidP="00ED08CE">
            <w:pPr>
              <w:widowControl/>
              <w:adjustRightInd w:val="0"/>
              <w:snapToGrid w:val="0"/>
              <w:spacing w:line="580" w:lineRule="exact"/>
              <w:jc w:val="center"/>
              <w:rPr>
                <w:color w:val="000000"/>
                <w:sz w:val="28"/>
                <w:szCs w:val="28"/>
              </w:rPr>
            </w:pPr>
            <w:r w:rsidRPr="00FA6273">
              <w:rPr>
                <w:color w:val="000000"/>
                <w:sz w:val="28"/>
                <w:szCs w:val="28"/>
              </w:rPr>
              <w:t>0.20</w:t>
            </w:r>
          </w:p>
        </w:tc>
      </w:tr>
      <w:tr w:rsidR="00E246F6" w:rsidRPr="00FA6273" w:rsidTr="00ED08CE">
        <w:trPr>
          <w:jc w:val="center"/>
        </w:trPr>
        <w:tc>
          <w:tcPr>
            <w:tcW w:w="4743" w:type="dxa"/>
            <w:tcBorders>
              <w:top w:val="single" w:sz="4" w:space="0" w:color="auto"/>
              <w:left w:val="single" w:sz="4" w:space="0" w:color="auto"/>
              <w:bottom w:val="single" w:sz="4" w:space="0" w:color="auto"/>
              <w:right w:val="single" w:sz="4" w:space="0" w:color="auto"/>
            </w:tcBorders>
          </w:tcPr>
          <w:p w:rsidR="00E246F6" w:rsidRPr="00FA6273" w:rsidRDefault="00E246F6" w:rsidP="00ED08CE">
            <w:pPr>
              <w:widowControl/>
              <w:spacing w:line="580" w:lineRule="exact"/>
              <w:jc w:val="center"/>
              <w:rPr>
                <w:color w:val="000000"/>
                <w:sz w:val="28"/>
                <w:szCs w:val="28"/>
              </w:rPr>
            </w:pPr>
            <w:r w:rsidRPr="00FA6273">
              <w:rPr>
                <w:color w:val="000000"/>
                <w:sz w:val="28"/>
                <w:szCs w:val="28"/>
              </w:rPr>
              <w:t>酸价（</w:t>
            </w:r>
            <w:r w:rsidRPr="00FA6273">
              <w:rPr>
                <w:color w:val="000000"/>
                <w:sz w:val="28"/>
                <w:szCs w:val="28"/>
              </w:rPr>
              <w:t>KOH</w:t>
            </w:r>
            <w:r w:rsidRPr="00FA6273">
              <w:rPr>
                <w:color w:val="000000"/>
                <w:sz w:val="28"/>
                <w:szCs w:val="28"/>
              </w:rPr>
              <w:t>）</w:t>
            </w:r>
            <w:r w:rsidRPr="00FA6273">
              <w:rPr>
                <w:color w:val="000000"/>
                <w:sz w:val="28"/>
                <w:szCs w:val="28"/>
              </w:rPr>
              <w:t>/(mg/g)≤</w:t>
            </w:r>
          </w:p>
        </w:tc>
        <w:tc>
          <w:tcPr>
            <w:tcW w:w="3976" w:type="dxa"/>
            <w:tcBorders>
              <w:top w:val="single" w:sz="4" w:space="0" w:color="auto"/>
              <w:left w:val="single" w:sz="4" w:space="0" w:color="auto"/>
              <w:bottom w:val="single" w:sz="4" w:space="0" w:color="auto"/>
              <w:right w:val="single" w:sz="4" w:space="0" w:color="auto"/>
            </w:tcBorders>
          </w:tcPr>
          <w:p w:rsidR="00E246F6" w:rsidRPr="00FA6273" w:rsidRDefault="00E246F6" w:rsidP="00ED08CE">
            <w:pPr>
              <w:widowControl/>
              <w:adjustRightInd w:val="0"/>
              <w:snapToGrid w:val="0"/>
              <w:spacing w:line="580" w:lineRule="exact"/>
              <w:jc w:val="center"/>
              <w:rPr>
                <w:color w:val="000000"/>
                <w:sz w:val="28"/>
                <w:szCs w:val="28"/>
              </w:rPr>
            </w:pPr>
            <w:r w:rsidRPr="00FA6273">
              <w:rPr>
                <w:color w:val="000000"/>
                <w:sz w:val="28"/>
                <w:szCs w:val="28"/>
              </w:rPr>
              <w:t>3.0</w:t>
            </w:r>
          </w:p>
        </w:tc>
      </w:tr>
      <w:tr w:rsidR="00E246F6" w:rsidRPr="00FA6273" w:rsidTr="00ED08CE">
        <w:trPr>
          <w:jc w:val="center"/>
        </w:trPr>
        <w:tc>
          <w:tcPr>
            <w:tcW w:w="4743" w:type="dxa"/>
            <w:tcBorders>
              <w:top w:val="single" w:sz="4" w:space="0" w:color="auto"/>
              <w:left w:val="single" w:sz="4" w:space="0" w:color="auto"/>
              <w:bottom w:val="single" w:sz="4" w:space="0" w:color="auto"/>
              <w:right w:val="single" w:sz="4" w:space="0" w:color="auto"/>
            </w:tcBorders>
            <w:vAlign w:val="bottom"/>
          </w:tcPr>
          <w:p w:rsidR="00E246F6" w:rsidRPr="00FA6273" w:rsidRDefault="00E246F6" w:rsidP="00ED08CE">
            <w:pPr>
              <w:widowControl/>
              <w:spacing w:line="580" w:lineRule="exact"/>
              <w:jc w:val="center"/>
              <w:rPr>
                <w:color w:val="000000"/>
                <w:sz w:val="28"/>
                <w:szCs w:val="28"/>
              </w:rPr>
            </w:pPr>
            <w:r w:rsidRPr="00FA6273">
              <w:rPr>
                <w:color w:val="000000"/>
                <w:sz w:val="28"/>
                <w:szCs w:val="28"/>
              </w:rPr>
              <w:t>过氧化值</w:t>
            </w:r>
            <w:r w:rsidRPr="00FA6273">
              <w:rPr>
                <w:color w:val="000000"/>
                <w:sz w:val="28"/>
                <w:szCs w:val="28"/>
              </w:rPr>
              <w:t>/</w:t>
            </w:r>
            <w:r w:rsidRPr="00FA6273">
              <w:rPr>
                <w:color w:val="000000"/>
                <w:sz w:val="28"/>
                <w:szCs w:val="28"/>
              </w:rPr>
              <w:t>（</w:t>
            </w:r>
            <w:proofErr w:type="spellStart"/>
            <w:r w:rsidRPr="00FA6273">
              <w:rPr>
                <w:color w:val="000000"/>
                <w:sz w:val="28"/>
                <w:szCs w:val="28"/>
              </w:rPr>
              <w:t>mmol</w:t>
            </w:r>
            <w:proofErr w:type="spellEnd"/>
            <w:r w:rsidRPr="00FA6273">
              <w:rPr>
                <w:color w:val="000000"/>
                <w:sz w:val="28"/>
                <w:szCs w:val="28"/>
              </w:rPr>
              <w:t>/kg</w:t>
            </w:r>
            <w:r w:rsidRPr="00FA6273">
              <w:rPr>
                <w:color w:val="000000"/>
                <w:sz w:val="28"/>
                <w:szCs w:val="28"/>
              </w:rPr>
              <w:t>）</w:t>
            </w:r>
            <w:r w:rsidRPr="00FA6273">
              <w:rPr>
                <w:color w:val="000000"/>
                <w:sz w:val="28"/>
                <w:szCs w:val="28"/>
              </w:rPr>
              <w:t>≤</w:t>
            </w:r>
          </w:p>
        </w:tc>
        <w:tc>
          <w:tcPr>
            <w:tcW w:w="3976" w:type="dxa"/>
            <w:tcBorders>
              <w:top w:val="single" w:sz="4" w:space="0" w:color="auto"/>
              <w:left w:val="single" w:sz="4" w:space="0" w:color="auto"/>
              <w:bottom w:val="single" w:sz="4" w:space="0" w:color="auto"/>
              <w:right w:val="single" w:sz="4" w:space="0" w:color="auto"/>
            </w:tcBorders>
          </w:tcPr>
          <w:p w:rsidR="00E246F6" w:rsidRPr="00FA6273" w:rsidRDefault="00E246F6" w:rsidP="00ED08CE">
            <w:pPr>
              <w:widowControl/>
              <w:adjustRightInd w:val="0"/>
              <w:snapToGrid w:val="0"/>
              <w:spacing w:line="580" w:lineRule="exact"/>
              <w:jc w:val="center"/>
              <w:rPr>
                <w:color w:val="000000"/>
                <w:sz w:val="28"/>
                <w:szCs w:val="28"/>
              </w:rPr>
            </w:pPr>
            <w:r w:rsidRPr="00FA6273">
              <w:rPr>
                <w:color w:val="000000"/>
                <w:sz w:val="28"/>
                <w:szCs w:val="28"/>
              </w:rPr>
              <w:t>7.5</w:t>
            </w:r>
          </w:p>
        </w:tc>
      </w:tr>
      <w:tr w:rsidR="00E246F6" w:rsidRPr="00FA6273" w:rsidTr="00ED08CE">
        <w:trPr>
          <w:jc w:val="center"/>
        </w:trPr>
        <w:tc>
          <w:tcPr>
            <w:tcW w:w="4743" w:type="dxa"/>
            <w:tcBorders>
              <w:top w:val="single" w:sz="4" w:space="0" w:color="auto"/>
              <w:left w:val="single" w:sz="4" w:space="0" w:color="auto"/>
              <w:bottom w:val="single" w:sz="4" w:space="0" w:color="auto"/>
              <w:right w:val="single" w:sz="4" w:space="0" w:color="auto"/>
            </w:tcBorders>
            <w:vAlign w:val="bottom"/>
          </w:tcPr>
          <w:p w:rsidR="00E246F6" w:rsidRPr="00FA6273" w:rsidRDefault="00E246F6" w:rsidP="00ED08CE">
            <w:pPr>
              <w:widowControl/>
              <w:spacing w:line="580" w:lineRule="exact"/>
              <w:jc w:val="center"/>
              <w:rPr>
                <w:color w:val="000000"/>
                <w:sz w:val="28"/>
                <w:szCs w:val="28"/>
              </w:rPr>
            </w:pPr>
            <w:r w:rsidRPr="00FA6273">
              <w:rPr>
                <w:color w:val="000000"/>
                <w:sz w:val="28"/>
                <w:szCs w:val="28"/>
              </w:rPr>
              <w:t>溶剂残留量</w:t>
            </w:r>
            <w:r w:rsidRPr="00FA6273">
              <w:rPr>
                <w:color w:val="000000"/>
                <w:sz w:val="28"/>
                <w:szCs w:val="28"/>
              </w:rPr>
              <w:t>/(mg/kg)≤</w:t>
            </w:r>
          </w:p>
        </w:tc>
        <w:tc>
          <w:tcPr>
            <w:tcW w:w="3976" w:type="dxa"/>
            <w:tcBorders>
              <w:top w:val="single" w:sz="4" w:space="0" w:color="auto"/>
              <w:left w:val="single" w:sz="4" w:space="0" w:color="auto"/>
              <w:bottom w:val="single" w:sz="4" w:space="0" w:color="auto"/>
              <w:right w:val="single" w:sz="4" w:space="0" w:color="auto"/>
            </w:tcBorders>
          </w:tcPr>
          <w:p w:rsidR="00E246F6" w:rsidRPr="00FA6273" w:rsidRDefault="00E246F6" w:rsidP="00ED08CE">
            <w:pPr>
              <w:widowControl/>
              <w:adjustRightInd w:val="0"/>
              <w:snapToGrid w:val="0"/>
              <w:spacing w:line="580" w:lineRule="exact"/>
              <w:jc w:val="center"/>
              <w:rPr>
                <w:color w:val="000000"/>
                <w:sz w:val="28"/>
                <w:szCs w:val="28"/>
              </w:rPr>
            </w:pPr>
            <w:r w:rsidRPr="00FA6273">
              <w:rPr>
                <w:color w:val="000000"/>
                <w:sz w:val="28"/>
                <w:szCs w:val="28"/>
              </w:rPr>
              <w:t>100</w:t>
            </w:r>
          </w:p>
        </w:tc>
      </w:tr>
      <w:tr w:rsidR="00E246F6" w:rsidRPr="00FA6273" w:rsidTr="00ED08CE">
        <w:trPr>
          <w:jc w:val="center"/>
        </w:trPr>
        <w:tc>
          <w:tcPr>
            <w:tcW w:w="4743" w:type="dxa"/>
            <w:tcBorders>
              <w:top w:val="single" w:sz="4" w:space="0" w:color="auto"/>
              <w:left w:val="single" w:sz="4" w:space="0" w:color="auto"/>
              <w:bottom w:val="single" w:sz="4" w:space="0" w:color="auto"/>
              <w:right w:val="single" w:sz="4" w:space="0" w:color="auto"/>
            </w:tcBorders>
            <w:vAlign w:val="center"/>
          </w:tcPr>
          <w:p w:rsidR="00E246F6" w:rsidRPr="00FA6273" w:rsidRDefault="00E246F6" w:rsidP="00ED08CE">
            <w:pPr>
              <w:widowControl/>
              <w:spacing w:line="580" w:lineRule="exact"/>
              <w:jc w:val="center"/>
              <w:rPr>
                <w:color w:val="000000"/>
                <w:sz w:val="28"/>
                <w:szCs w:val="28"/>
              </w:rPr>
            </w:pPr>
            <w:r w:rsidRPr="00FA6273">
              <w:rPr>
                <w:color w:val="000000"/>
                <w:sz w:val="28"/>
                <w:szCs w:val="28"/>
              </w:rPr>
              <w:t>磷脂含量</w:t>
            </w:r>
            <w:r w:rsidRPr="00FA6273">
              <w:rPr>
                <w:color w:val="000000"/>
                <w:sz w:val="28"/>
                <w:szCs w:val="28"/>
              </w:rPr>
              <w:t>/(mg/g)≤</w:t>
            </w:r>
          </w:p>
        </w:tc>
        <w:tc>
          <w:tcPr>
            <w:tcW w:w="3976" w:type="dxa"/>
            <w:tcBorders>
              <w:top w:val="single" w:sz="4" w:space="0" w:color="auto"/>
              <w:left w:val="single" w:sz="4" w:space="0" w:color="auto"/>
              <w:bottom w:val="single" w:sz="4" w:space="0" w:color="auto"/>
              <w:right w:val="single" w:sz="4" w:space="0" w:color="auto"/>
            </w:tcBorders>
            <w:vAlign w:val="center"/>
          </w:tcPr>
          <w:p w:rsidR="00E246F6" w:rsidRPr="00FA6273" w:rsidRDefault="00E246F6" w:rsidP="00ED08CE">
            <w:pPr>
              <w:widowControl/>
              <w:adjustRightInd w:val="0"/>
              <w:snapToGrid w:val="0"/>
              <w:spacing w:line="580" w:lineRule="exact"/>
              <w:jc w:val="center"/>
              <w:rPr>
                <w:dstrike/>
                <w:color w:val="000000"/>
                <w:sz w:val="28"/>
                <w:szCs w:val="28"/>
              </w:rPr>
            </w:pPr>
            <w:r w:rsidRPr="00FA6273">
              <w:rPr>
                <w:sz w:val="28"/>
                <w:szCs w:val="28"/>
              </w:rPr>
              <w:t>5.262</w:t>
            </w:r>
          </w:p>
        </w:tc>
      </w:tr>
    </w:tbl>
    <w:p w:rsidR="00E246F6" w:rsidRPr="00FA6273" w:rsidRDefault="00E246F6" w:rsidP="00E246F6">
      <w:pPr>
        <w:widowControl/>
        <w:adjustRightInd w:val="0"/>
        <w:snapToGrid w:val="0"/>
        <w:spacing w:line="580" w:lineRule="exact"/>
        <w:ind w:firstLineChars="200" w:firstLine="640"/>
        <w:rPr>
          <w:dstrike/>
          <w:szCs w:val="32"/>
        </w:rPr>
      </w:pPr>
      <w:r w:rsidRPr="00FA6273">
        <w:rPr>
          <w:szCs w:val="32"/>
        </w:rPr>
        <w:t>5.2</w:t>
      </w:r>
      <w:r w:rsidRPr="00FA6273">
        <w:rPr>
          <w:szCs w:val="32"/>
        </w:rPr>
        <w:t>食品安全要求：按</w:t>
      </w:r>
      <w:r w:rsidRPr="00FA6273">
        <w:rPr>
          <w:szCs w:val="32"/>
        </w:rPr>
        <w:t>GB/T 1535-2017</w:t>
      </w:r>
      <w:r w:rsidRPr="00FA6273">
        <w:rPr>
          <w:szCs w:val="32"/>
        </w:rPr>
        <w:t>中的规定执行。</w:t>
      </w:r>
    </w:p>
    <w:p w:rsidR="00E246F6" w:rsidRPr="00FA6273" w:rsidRDefault="00E246F6" w:rsidP="00E246F6">
      <w:pPr>
        <w:widowControl/>
        <w:adjustRightInd w:val="0"/>
        <w:snapToGrid w:val="0"/>
        <w:spacing w:line="580" w:lineRule="exact"/>
        <w:ind w:firstLineChars="200" w:firstLine="640"/>
        <w:rPr>
          <w:szCs w:val="32"/>
        </w:rPr>
      </w:pPr>
      <w:r w:rsidRPr="00FA6273">
        <w:rPr>
          <w:szCs w:val="32"/>
        </w:rPr>
        <w:t>6</w:t>
      </w:r>
      <w:r w:rsidRPr="00FA6273">
        <w:rPr>
          <w:szCs w:val="32"/>
        </w:rPr>
        <w:t>．检验方法、检验规则、标签</w:t>
      </w:r>
    </w:p>
    <w:p w:rsidR="00E246F6" w:rsidRPr="00FA6273" w:rsidRDefault="00E246F6" w:rsidP="00E246F6">
      <w:pPr>
        <w:widowControl/>
        <w:adjustRightInd w:val="0"/>
        <w:snapToGrid w:val="0"/>
        <w:spacing w:line="580" w:lineRule="exact"/>
        <w:ind w:firstLineChars="200" w:firstLine="640"/>
        <w:rPr>
          <w:szCs w:val="32"/>
        </w:rPr>
      </w:pPr>
      <w:r w:rsidRPr="00FA6273">
        <w:rPr>
          <w:szCs w:val="32"/>
        </w:rPr>
        <w:t xml:space="preserve">6.1 </w:t>
      </w:r>
      <w:r w:rsidRPr="00FA6273">
        <w:rPr>
          <w:color w:val="000000"/>
          <w:szCs w:val="32"/>
        </w:rPr>
        <w:t>磷脂含量</w:t>
      </w:r>
      <w:r w:rsidRPr="00FA6273">
        <w:rPr>
          <w:szCs w:val="32"/>
        </w:rPr>
        <w:t>检验</w:t>
      </w:r>
      <w:r w:rsidRPr="00FA6273">
        <w:rPr>
          <w:szCs w:val="32"/>
        </w:rPr>
        <w:t xml:space="preserve"> </w:t>
      </w:r>
      <w:r w:rsidRPr="00FA6273">
        <w:rPr>
          <w:szCs w:val="32"/>
        </w:rPr>
        <w:t>按</w:t>
      </w:r>
      <w:r w:rsidRPr="00FA6273">
        <w:rPr>
          <w:szCs w:val="32"/>
        </w:rPr>
        <w:t>GB/T 5537-2008</w:t>
      </w:r>
      <w:r w:rsidRPr="00FA6273">
        <w:rPr>
          <w:szCs w:val="32"/>
        </w:rPr>
        <w:t>执行。</w:t>
      </w:r>
    </w:p>
    <w:p w:rsidR="00E246F6" w:rsidRPr="00FA6273" w:rsidRDefault="00E246F6" w:rsidP="00E246F6">
      <w:pPr>
        <w:widowControl/>
        <w:adjustRightInd w:val="0"/>
        <w:snapToGrid w:val="0"/>
        <w:spacing w:line="580" w:lineRule="exact"/>
        <w:ind w:firstLineChars="200" w:firstLine="640"/>
        <w:rPr>
          <w:szCs w:val="32"/>
        </w:rPr>
      </w:pPr>
      <w:r w:rsidRPr="00FA6273">
        <w:rPr>
          <w:szCs w:val="32"/>
        </w:rPr>
        <w:t xml:space="preserve">6.2 </w:t>
      </w:r>
      <w:r w:rsidRPr="00FA6273">
        <w:rPr>
          <w:szCs w:val="32"/>
        </w:rPr>
        <w:t>其他：按</w:t>
      </w:r>
      <w:r w:rsidRPr="00FA6273">
        <w:rPr>
          <w:szCs w:val="32"/>
        </w:rPr>
        <w:t>GB/T 1535-2017</w:t>
      </w:r>
      <w:r w:rsidRPr="00FA6273">
        <w:rPr>
          <w:szCs w:val="32"/>
        </w:rPr>
        <w:t>中的规定执行。</w:t>
      </w:r>
    </w:p>
    <w:p w:rsidR="00E246F6" w:rsidRPr="00FA6273" w:rsidRDefault="00E246F6" w:rsidP="00E246F6">
      <w:pPr>
        <w:widowControl/>
        <w:adjustRightInd w:val="0"/>
        <w:snapToGrid w:val="0"/>
        <w:spacing w:line="580" w:lineRule="exact"/>
        <w:ind w:firstLineChars="200" w:firstLine="640"/>
        <w:rPr>
          <w:szCs w:val="32"/>
        </w:rPr>
      </w:pPr>
      <w:r w:rsidRPr="00FA6273">
        <w:rPr>
          <w:szCs w:val="32"/>
        </w:rPr>
        <w:t>7</w:t>
      </w:r>
      <w:r w:rsidRPr="00FA6273">
        <w:rPr>
          <w:szCs w:val="32"/>
        </w:rPr>
        <w:t>．附加说明</w:t>
      </w:r>
    </w:p>
    <w:p w:rsidR="00E246F6" w:rsidRPr="00FA6273" w:rsidRDefault="00E246F6" w:rsidP="00E246F6">
      <w:pPr>
        <w:widowControl/>
        <w:adjustRightInd w:val="0"/>
        <w:snapToGrid w:val="0"/>
        <w:spacing w:line="580" w:lineRule="exact"/>
        <w:ind w:firstLineChars="200" w:firstLine="640"/>
        <w:rPr>
          <w:szCs w:val="32"/>
        </w:rPr>
      </w:pPr>
      <w:r w:rsidRPr="00FA6273">
        <w:rPr>
          <w:szCs w:val="32"/>
        </w:rPr>
        <w:t>本标准由大连商品交易所负责解释。</w:t>
      </w:r>
    </w:p>
    <w:p w:rsidR="00E246F6" w:rsidRPr="008A3309" w:rsidRDefault="00E246F6" w:rsidP="00E246F6">
      <w:pPr>
        <w:spacing w:line="580" w:lineRule="exact"/>
      </w:pPr>
      <w:bookmarkStart w:id="0" w:name="_GoBack"/>
      <w:bookmarkEnd w:id="0"/>
    </w:p>
    <w:p w:rsidR="0096705E" w:rsidRPr="00E246F6" w:rsidRDefault="0096705E"/>
    <w:sectPr w:rsidR="0096705E" w:rsidRPr="00E246F6" w:rsidSect="008A3309">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6F6" w:rsidRDefault="00E246F6" w:rsidP="00E246F6">
      <w:r>
        <w:separator/>
      </w:r>
    </w:p>
  </w:endnote>
  <w:endnote w:type="continuationSeparator" w:id="0">
    <w:p w:rsidR="00E246F6" w:rsidRDefault="00E246F6" w:rsidP="00E2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867762"/>
      <w:docPartObj>
        <w:docPartGallery w:val="Page Numbers (Bottom of Page)"/>
        <w:docPartUnique/>
      </w:docPartObj>
    </w:sdtPr>
    <w:sdtContent>
      <w:p w:rsidR="00C24EB1" w:rsidRDefault="00C24EB1">
        <w:pPr>
          <w:pStyle w:val="a5"/>
          <w:jc w:val="center"/>
        </w:pPr>
        <w:r>
          <w:fldChar w:fldCharType="begin"/>
        </w:r>
        <w:r>
          <w:instrText>PAGE   \* MERGEFORMAT</w:instrText>
        </w:r>
        <w:r>
          <w:fldChar w:fldCharType="separate"/>
        </w:r>
        <w:r w:rsidRPr="00C24EB1">
          <w:rPr>
            <w:noProof/>
            <w:lang w:val="zh-CN"/>
          </w:rPr>
          <w:t>10</w:t>
        </w:r>
        <w:r>
          <w:fldChar w:fldCharType="end"/>
        </w:r>
      </w:p>
    </w:sdtContent>
  </w:sdt>
  <w:p w:rsidR="00C24EB1" w:rsidRDefault="00C24E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6F6" w:rsidRDefault="00E246F6" w:rsidP="00E246F6">
      <w:r>
        <w:separator/>
      </w:r>
    </w:p>
  </w:footnote>
  <w:footnote w:type="continuationSeparator" w:id="0">
    <w:p w:rsidR="00E246F6" w:rsidRDefault="00E246F6" w:rsidP="00E24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41"/>
    <w:rsid w:val="0096705E"/>
    <w:rsid w:val="00A74A41"/>
    <w:rsid w:val="00C24EB1"/>
    <w:rsid w:val="00C91C7C"/>
    <w:rsid w:val="00E24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21A2A33-470F-4B0A-89AA-2E15B9F0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6F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6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246F6"/>
    <w:rPr>
      <w:sz w:val="18"/>
      <w:szCs w:val="18"/>
    </w:rPr>
  </w:style>
  <w:style w:type="paragraph" w:styleId="a5">
    <w:name w:val="footer"/>
    <w:basedOn w:val="a"/>
    <w:link w:val="a6"/>
    <w:uiPriority w:val="99"/>
    <w:unhideWhenUsed/>
    <w:rsid w:val="00E246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246F6"/>
    <w:rPr>
      <w:sz w:val="18"/>
      <w:szCs w:val="18"/>
    </w:rPr>
  </w:style>
  <w:style w:type="paragraph" w:styleId="a7">
    <w:name w:val="Normal (Web)"/>
    <w:basedOn w:val="a"/>
    <w:uiPriority w:val="99"/>
    <w:qFormat/>
    <w:rsid w:val="00E246F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1935</Words>
  <Characters>1974</Characters>
  <Application>Microsoft Office Word</Application>
  <DocSecurity>0</DocSecurity>
  <Lines>98</Lines>
  <Paragraphs>45</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王皓如</cp:lastModifiedBy>
  <cp:revision>3</cp:revision>
  <dcterms:created xsi:type="dcterms:W3CDTF">2020-12-11T07:02:00Z</dcterms:created>
  <dcterms:modified xsi:type="dcterms:W3CDTF">2020-12-11T07:37:00Z</dcterms:modified>
</cp:coreProperties>
</file>