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D85" w:rsidRDefault="00104D85" w:rsidP="00104D85">
      <w:pPr>
        <w:widowControl/>
        <w:snapToGrid w:val="0"/>
        <w:spacing w:line="580" w:lineRule="exact"/>
        <w:jc w:val="left"/>
        <w:rPr>
          <w:rFonts w:ascii="黑体" w:eastAsia="黑体" w:hAnsi="黑体"/>
          <w:sz w:val="32"/>
          <w:szCs w:val="32"/>
        </w:rPr>
      </w:pPr>
      <w:r>
        <w:rPr>
          <w:rFonts w:ascii="黑体" w:eastAsia="黑体" w:hAnsi="黑体" w:hint="eastAsia"/>
          <w:sz w:val="32"/>
          <w:szCs w:val="32"/>
        </w:rPr>
        <w:t>附件</w:t>
      </w:r>
      <w:r w:rsidR="003F2BF9">
        <w:rPr>
          <w:rFonts w:ascii="黑体" w:eastAsia="黑体" w:hAnsi="黑体" w:hint="eastAsia"/>
          <w:sz w:val="32"/>
          <w:szCs w:val="32"/>
        </w:rPr>
        <w:t>2</w:t>
      </w:r>
    </w:p>
    <w:p w:rsidR="00104D85" w:rsidRDefault="00104D85" w:rsidP="00104D85">
      <w:pPr>
        <w:widowControl/>
        <w:shd w:val="clear" w:color="auto" w:fill="FFFFFF"/>
        <w:rPr>
          <w:rFonts w:ascii="Times New Roman" w:eastAsia="黑体" w:hAnsi="Times New Roman"/>
          <w:color w:val="333333"/>
          <w:kern w:val="0"/>
          <w:sz w:val="32"/>
          <w:szCs w:val="32"/>
        </w:rPr>
      </w:pPr>
    </w:p>
    <w:p w:rsidR="00104D85" w:rsidRDefault="00104D85" w:rsidP="00104D85">
      <w:pPr>
        <w:jc w:val="center"/>
        <w:rPr>
          <w:rFonts w:ascii="Times New Roman" w:eastAsia="宋体" w:hAnsi="Times New Roman"/>
          <w:b/>
          <w:bCs/>
          <w:sz w:val="44"/>
          <w:szCs w:val="44"/>
        </w:rPr>
      </w:pPr>
      <w:r>
        <w:rPr>
          <w:rFonts w:ascii="Times New Roman" w:eastAsia="宋体" w:hAnsi="Times New Roman" w:hint="eastAsia"/>
          <w:b/>
          <w:bCs/>
          <w:sz w:val="44"/>
          <w:szCs w:val="44"/>
        </w:rPr>
        <w:t>《大连商品交易所风险管理办法》</w:t>
      </w:r>
    </w:p>
    <w:p w:rsidR="00104D85" w:rsidRDefault="00104D85" w:rsidP="00104D85">
      <w:pPr>
        <w:jc w:val="center"/>
        <w:rPr>
          <w:rFonts w:ascii="Times New Roman" w:eastAsia="宋体" w:hAnsi="Times New Roman"/>
          <w:b/>
          <w:bCs/>
          <w:sz w:val="44"/>
          <w:szCs w:val="44"/>
        </w:rPr>
      </w:pPr>
      <w:r>
        <w:rPr>
          <w:rFonts w:ascii="Times New Roman" w:eastAsia="宋体" w:hAnsi="Times New Roman" w:hint="eastAsia"/>
          <w:b/>
          <w:bCs/>
          <w:sz w:val="44"/>
          <w:szCs w:val="44"/>
        </w:rPr>
        <w:t>修订稿</w:t>
      </w:r>
    </w:p>
    <w:p w:rsidR="00104D85" w:rsidRDefault="00104D85" w:rsidP="00104D85">
      <w:pPr>
        <w:widowControl/>
        <w:shd w:val="clear" w:color="auto" w:fill="FFFFFF"/>
        <w:jc w:val="center"/>
        <w:rPr>
          <w:rFonts w:ascii="Times New Roman" w:eastAsia="仿宋_GB2312" w:hAnsi="Times New Roman"/>
          <w:color w:val="333333"/>
          <w:kern w:val="0"/>
          <w:sz w:val="32"/>
          <w:szCs w:val="32"/>
          <w:shd w:val="clear" w:color="auto" w:fill="FFFFFF"/>
        </w:rPr>
      </w:pPr>
    </w:p>
    <w:p w:rsidR="00104D85" w:rsidRDefault="00104D85" w:rsidP="00104D85">
      <w:pPr>
        <w:widowControl/>
        <w:shd w:val="clear" w:color="auto" w:fill="FFFFFF"/>
        <w:jc w:val="center"/>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第一章</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总则</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第一条为了加强期货交易风险管理，维护期货交易各方的合法权益，保证大连商品交易所</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以下简称交易所</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期货交易正常的进行，根据《大连商品交易所交易规则》，制定本办法。</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第二条交易所风险管理实行保证金制度、涨跌停板制度、限仓制度、交易限额制度、大户报告制度、强行平仓制度和风险警示制度。</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三条交易所、会员、境外经纪机构和客户必须遵守本办法。境外经纪机构应当辅助其委托交易结算的期货公司会员做好境外客户的强行平仓、大户报告、风险提示等工作。期货公司会员应当将涉及境外经纪机构客户的</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强行平仓通知书</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、强行平仓结果、风险提示函等及时通知境外经纪机构。</w:t>
      </w:r>
    </w:p>
    <w:p w:rsidR="00104D85" w:rsidRDefault="00104D85" w:rsidP="00104D85">
      <w:pPr>
        <w:widowControl/>
        <w:shd w:val="clear" w:color="auto" w:fill="FFFFFF"/>
        <w:jc w:val="center"/>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第二章</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保证金制度</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第四条交易所实行保证金制度。各品种期货合约的最低交易保证金为合约价值的</w:t>
      </w:r>
      <w:r>
        <w:rPr>
          <w:rFonts w:ascii="Times New Roman" w:eastAsia="仿宋_GB2312" w:hAnsi="Times New Roman"/>
          <w:color w:val="333333"/>
          <w:kern w:val="0"/>
          <w:sz w:val="32"/>
          <w:szCs w:val="32"/>
          <w:shd w:val="clear" w:color="auto" w:fill="FFFFFF"/>
        </w:rPr>
        <w:t>5%</w:t>
      </w:r>
      <w:r>
        <w:rPr>
          <w:rFonts w:ascii="Times New Roman" w:eastAsia="仿宋_GB2312" w:hAnsi="Times New Roman" w:hint="eastAsia"/>
          <w:color w:val="333333"/>
          <w:kern w:val="0"/>
          <w:sz w:val="32"/>
          <w:szCs w:val="32"/>
          <w:shd w:val="clear" w:color="auto" w:fill="FFFFFF"/>
        </w:rPr>
        <w:t>。</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新开仓交易保证金按前一交易日结算时交易保证金收取。</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lastRenderedPageBreak/>
        <w:t xml:space="preserve">　　交易所可以根据市场情况调整各合约交易保证金标准。</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合约在某一交易时间段的交易保证金标准自该交易时间段</w:t>
      </w:r>
      <w:proofErr w:type="gramStart"/>
      <w:r>
        <w:rPr>
          <w:rFonts w:ascii="Times New Roman" w:eastAsia="仿宋_GB2312" w:hAnsi="Times New Roman" w:hint="eastAsia"/>
          <w:color w:val="333333"/>
          <w:kern w:val="0"/>
          <w:sz w:val="32"/>
          <w:szCs w:val="32"/>
          <w:shd w:val="clear" w:color="auto" w:fill="FFFFFF"/>
        </w:rPr>
        <w:t>起始日前</w:t>
      </w:r>
      <w:proofErr w:type="gramEnd"/>
      <w:r>
        <w:rPr>
          <w:rFonts w:ascii="Times New Roman" w:eastAsia="仿宋_GB2312" w:hAnsi="Times New Roman" w:hint="eastAsia"/>
          <w:color w:val="333333"/>
          <w:kern w:val="0"/>
          <w:sz w:val="32"/>
          <w:szCs w:val="32"/>
          <w:shd w:val="clear" w:color="auto" w:fill="FFFFFF"/>
        </w:rPr>
        <w:t>一交易日结算时起执行。</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第五条自交易所上市的商品期货合约进入交割月份前一个月第十五个交易日起，交易所将分时间</w:t>
      </w:r>
      <w:proofErr w:type="gramStart"/>
      <w:r>
        <w:rPr>
          <w:rFonts w:ascii="Times New Roman" w:eastAsia="仿宋_GB2312" w:hAnsi="Times New Roman" w:hint="eastAsia"/>
          <w:color w:val="333333"/>
          <w:kern w:val="0"/>
          <w:sz w:val="32"/>
          <w:szCs w:val="32"/>
          <w:shd w:val="clear" w:color="auto" w:fill="FFFFFF"/>
        </w:rPr>
        <w:t>段逐步</w:t>
      </w:r>
      <w:proofErr w:type="gramEnd"/>
      <w:r>
        <w:rPr>
          <w:rFonts w:ascii="Times New Roman" w:eastAsia="仿宋_GB2312" w:hAnsi="Times New Roman" w:hint="eastAsia"/>
          <w:color w:val="333333"/>
          <w:kern w:val="0"/>
          <w:sz w:val="32"/>
          <w:szCs w:val="32"/>
          <w:shd w:val="clear" w:color="auto" w:fill="FFFFFF"/>
        </w:rPr>
        <w:t>提高该合约的交易保证金。</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交易所上市的商品期货合约临近交割期时交易保证金收取标准为：</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4830"/>
        <w:gridCol w:w="2573"/>
      </w:tblGrid>
      <w:tr w:rsidR="00104D85" w:rsidTr="00104D8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交易时间段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交易保证金</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元</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手</w:t>
            </w:r>
            <w:r>
              <w:rPr>
                <w:rFonts w:ascii="Times New Roman" w:eastAsia="仿宋_GB2312" w:hAnsi="Times New Roman"/>
                <w:color w:val="333333"/>
                <w:kern w:val="0"/>
                <w:sz w:val="32"/>
                <w:szCs w:val="32"/>
              </w:rPr>
              <w:t>)</w:t>
            </w:r>
          </w:p>
        </w:tc>
      </w:tr>
      <w:tr w:rsidR="00104D85" w:rsidTr="00104D8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交割月份前一个月第十五个交易日</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合约价值的</w:t>
            </w:r>
            <w:r>
              <w:rPr>
                <w:rFonts w:ascii="Times New Roman" w:eastAsia="仿宋_GB2312" w:hAnsi="Times New Roman"/>
                <w:color w:val="333333"/>
                <w:kern w:val="0"/>
                <w:sz w:val="32"/>
                <w:szCs w:val="32"/>
              </w:rPr>
              <w:t>10%</w:t>
            </w:r>
          </w:p>
        </w:tc>
      </w:tr>
      <w:tr w:rsidR="00104D85" w:rsidTr="00104D8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交割月份第一个交易日</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合约价值的</w:t>
            </w:r>
            <w:r>
              <w:rPr>
                <w:rFonts w:ascii="Times New Roman" w:eastAsia="仿宋_GB2312" w:hAnsi="Times New Roman"/>
                <w:color w:val="333333"/>
                <w:kern w:val="0"/>
                <w:sz w:val="32"/>
                <w:szCs w:val="32"/>
              </w:rPr>
              <w:t>20%</w:t>
            </w:r>
          </w:p>
        </w:tc>
      </w:tr>
    </w:tbl>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第六条交易所可根据合约持仓量的增加提高交易保证金标准，并向市场公布。</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第七条交易所可以分时间段根据合约持仓量的变化调整该合约的交易保证金。</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对于乙二醇期货合约，自交割月前一个月第一个交易日至该月第十四个交易日期间，若该期间内某日的上一交易日结算时该合约的单边持仓量大于</w:t>
      </w:r>
      <w:r>
        <w:rPr>
          <w:rFonts w:ascii="Times New Roman" w:eastAsia="仿宋_GB2312" w:hAnsi="Times New Roman"/>
          <w:color w:val="333333"/>
          <w:kern w:val="0"/>
          <w:sz w:val="32"/>
          <w:szCs w:val="32"/>
          <w:shd w:val="clear" w:color="auto" w:fill="FFFFFF"/>
        </w:rPr>
        <w:t>120,000</w:t>
      </w:r>
      <w:r>
        <w:rPr>
          <w:rFonts w:ascii="Times New Roman" w:eastAsia="仿宋_GB2312" w:hAnsi="Times New Roman" w:hint="eastAsia"/>
          <w:color w:val="333333"/>
          <w:kern w:val="0"/>
          <w:sz w:val="32"/>
          <w:szCs w:val="32"/>
          <w:shd w:val="clear" w:color="auto" w:fill="FFFFFF"/>
        </w:rPr>
        <w:t>手，则自该日起该合约的交易保证金按照合约价值的</w:t>
      </w:r>
      <w:r>
        <w:rPr>
          <w:rFonts w:ascii="Times New Roman" w:eastAsia="仿宋_GB2312" w:hAnsi="Times New Roman"/>
          <w:color w:val="333333"/>
          <w:kern w:val="0"/>
          <w:sz w:val="32"/>
          <w:szCs w:val="32"/>
          <w:shd w:val="clear" w:color="auto" w:fill="FFFFFF"/>
        </w:rPr>
        <w:t>10%</w:t>
      </w:r>
      <w:r>
        <w:rPr>
          <w:rFonts w:ascii="Times New Roman" w:eastAsia="仿宋_GB2312" w:hAnsi="Times New Roman" w:hint="eastAsia"/>
          <w:color w:val="333333"/>
          <w:kern w:val="0"/>
          <w:sz w:val="32"/>
          <w:szCs w:val="32"/>
          <w:shd w:val="clear" w:color="auto" w:fill="FFFFFF"/>
        </w:rPr>
        <w:t>收取，直至该月第十四个交易日。自交割月前一个月第十五个交易日至该月最后一个交易日期间，</w:t>
      </w:r>
      <w:r>
        <w:rPr>
          <w:rFonts w:ascii="Times New Roman" w:eastAsia="仿宋_GB2312" w:hAnsi="Times New Roman" w:hint="eastAsia"/>
          <w:color w:val="333333"/>
          <w:kern w:val="0"/>
          <w:sz w:val="32"/>
          <w:szCs w:val="32"/>
          <w:shd w:val="clear" w:color="auto" w:fill="FFFFFF"/>
        </w:rPr>
        <w:lastRenderedPageBreak/>
        <w:t>若该期间内某日的上一交易日结算时该合约的单边持仓量大于</w:t>
      </w:r>
      <w:r>
        <w:rPr>
          <w:rFonts w:ascii="Times New Roman" w:eastAsia="仿宋_GB2312" w:hAnsi="Times New Roman"/>
          <w:color w:val="333333"/>
          <w:kern w:val="0"/>
          <w:sz w:val="32"/>
          <w:szCs w:val="32"/>
          <w:shd w:val="clear" w:color="auto" w:fill="FFFFFF"/>
        </w:rPr>
        <w:t>80,000</w:t>
      </w:r>
      <w:r>
        <w:rPr>
          <w:rFonts w:ascii="Times New Roman" w:eastAsia="仿宋_GB2312" w:hAnsi="Times New Roman" w:hint="eastAsia"/>
          <w:color w:val="333333"/>
          <w:kern w:val="0"/>
          <w:sz w:val="32"/>
          <w:szCs w:val="32"/>
          <w:shd w:val="clear" w:color="auto" w:fill="FFFFFF"/>
        </w:rPr>
        <w:t>手，则自该日起该合约的交易保证金按照合约价值的</w:t>
      </w:r>
      <w:r>
        <w:rPr>
          <w:rFonts w:ascii="Times New Roman" w:eastAsia="仿宋_GB2312" w:hAnsi="Times New Roman"/>
          <w:color w:val="333333"/>
          <w:kern w:val="0"/>
          <w:sz w:val="32"/>
          <w:szCs w:val="32"/>
          <w:shd w:val="clear" w:color="auto" w:fill="FFFFFF"/>
        </w:rPr>
        <w:t>20%</w:t>
      </w:r>
      <w:r>
        <w:rPr>
          <w:rFonts w:ascii="Times New Roman" w:eastAsia="仿宋_GB2312" w:hAnsi="Times New Roman" w:hint="eastAsia"/>
          <w:color w:val="333333"/>
          <w:kern w:val="0"/>
          <w:sz w:val="32"/>
          <w:szCs w:val="32"/>
          <w:shd w:val="clear" w:color="auto" w:fill="FFFFFF"/>
        </w:rPr>
        <w:t>收取，直至该月最后一个交易日。</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第八条当某期货合约出现涨跌停板的情况，则该期货合约的交易保证金按本办法第三章的有关规定执行。</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第九条当某期货合约连续三个交易日按结算价计算的涨（跌）幅之和达到合约规定的最大涨跌幅的</w:t>
      </w:r>
      <w:r>
        <w:rPr>
          <w:rFonts w:ascii="Times New Roman" w:eastAsia="仿宋_GB2312" w:hAnsi="Times New Roman"/>
          <w:color w:val="333333"/>
          <w:kern w:val="0"/>
          <w:sz w:val="32"/>
          <w:szCs w:val="32"/>
          <w:shd w:val="clear" w:color="auto" w:fill="FFFFFF"/>
        </w:rPr>
        <w:t>2</w:t>
      </w:r>
      <w:r>
        <w:rPr>
          <w:rFonts w:ascii="Times New Roman" w:eastAsia="仿宋_GB2312" w:hAnsi="Times New Roman" w:hint="eastAsia"/>
          <w:color w:val="333333"/>
          <w:kern w:val="0"/>
          <w:sz w:val="32"/>
          <w:szCs w:val="32"/>
          <w:shd w:val="clear" w:color="auto" w:fill="FFFFFF"/>
        </w:rPr>
        <w:t>倍，连续四个交易日按结算价计算的涨（跌）幅之和达到合约规定的最大涨跌幅的</w:t>
      </w:r>
      <w:r>
        <w:rPr>
          <w:rFonts w:ascii="Times New Roman" w:eastAsia="仿宋_GB2312" w:hAnsi="Times New Roman"/>
          <w:color w:val="333333"/>
          <w:kern w:val="0"/>
          <w:sz w:val="32"/>
          <w:szCs w:val="32"/>
          <w:shd w:val="clear" w:color="auto" w:fill="FFFFFF"/>
        </w:rPr>
        <w:t>2.5</w:t>
      </w:r>
      <w:r>
        <w:rPr>
          <w:rFonts w:ascii="Times New Roman" w:eastAsia="仿宋_GB2312" w:hAnsi="Times New Roman" w:hint="eastAsia"/>
          <w:color w:val="333333"/>
          <w:kern w:val="0"/>
          <w:sz w:val="32"/>
          <w:szCs w:val="32"/>
          <w:shd w:val="clear" w:color="auto" w:fill="FFFFFF"/>
        </w:rPr>
        <w:t>倍，连续五个交易日按结算价计算的涨（跌）幅之和达到合约规定的最大涨跌幅的</w:t>
      </w:r>
      <w:r>
        <w:rPr>
          <w:rFonts w:ascii="Times New Roman" w:eastAsia="仿宋_GB2312" w:hAnsi="Times New Roman"/>
          <w:color w:val="333333"/>
          <w:kern w:val="0"/>
          <w:sz w:val="32"/>
          <w:szCs w:val="32"/>
          <w:shd w:val="clear" w:color="auto" w:fill="FFFFFF"/>
        </w:rPr>
        <w:t>3</w:t>
      </w:r>
      <w:r>
        <w:rPr>
          <w:rFonts w:ascii="Times New Roman" w:eastAsia="仿宋_GB2312" w:hAnsi="Times New Roman" w:hint="eastAsia"/>
          <w:color w:val="333333"/>
          <w:kern w:val="0"/>
          <w:sz w:val="32"/>
          <w:szCs w:val="32"/>
          <w:shd w:val="clear" w:color="auto" w:fill="FFFFFF"/>
        </w:rPr>
        <w:t>倍时，交易所有权根据市场情况，采取单边或双边、同比例或不同比例、部分会员或全部会员提高交易保证金的措施。提高交易保证金的幅度不高于合约规定交易保证金的</w:t>
      </w:r>
      <w:r>
        <w:rPr>
          <w:rFonts w:ascii="Times New Roman" w:eastAsia="仿宋_GB2312" w:hAnsi="Times New Roman"/>
          <w:color w:val="333333"/>
          <w:kern w:val="0"/>
          <w:sz w:val="32"/>
          <w:szCs w:val="32"/>
          <w:shd w:val="clear" w:color="auto" w:fill="FFFFFF"/>
        </w:rPr>
        <w:t>1</w:t>
      </w:r>
      <w:r>
        <w:rPr>
          <w:rFonts w:ascii="Times New Roman" w:eastAsia="仿宋_GB2312" w:hAnsi="Times New Roman" w:hint="eastAsia"/>
          <w:color w:val="333333"/>
          <w:kern w:val="0"/>
          <w:sz w:val="32"/>
          <w:szCs w:val="32"/>
          <w:shd w:val="clear" w:color="auto" w:fill="FFFFFF"/>
        </w:rPr>
        <w:t>倍。</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交易所采取上述措施须事先报告中国证监会。</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第十条如遇法定节假日休市时间较长，交易所可以根据市场情况在休市前调整合约交易保证金标准和涨跌停板幅度。</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十一条交易所可以制定组合持仓的交易保证金标准。组合持仓是指按照交易所规定方式建立的符合条件的持仓组合。交易期间，非期货公司会员和客户可以通过交易所提供的套利交易指令下单和向交易所申请对符合条件的持仓进行组合确认</w:t>
      </w:r>
      <w:r>
        <w:rPr>
          <w:rFonts w:ascii="Times New Roman" w:eastAsia="仿宋_GB2312" w:hAnsi="Times New Roman" w:hint="eastAsia"/>
          <w:color w:val="333333"/>
          <w:kern w:val="0"/>
          <w:sz w:val="32"/>
          <w:szCs w:val="32"/>
          <w:shd w:val="clear" w:color="auto" w:fill="FFFFFF"/>
        </w:rPr>
        <w:lastRenderedPageBreak/>
        <w:t>两种方式建立组合持仓；结算时，交易所可以将符合条件的持仓按照一定规则自动组合成组合持仓。</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适用于组合持仓的品种、合约、组合类型、组合方式、组合优先级、交易保证金标准等，由交易所另行公布。交易所可以根据市场情况进行调整。</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第十二条交易期间建立的组合持仓，按前一个交易日结算时的组合持仓交易保证金标准收取保证金，保证金不足的按照《大连商品交易所结算管理办法》等规则规定执行。</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结算时，交易所对组合持仓按照当日公布的组合持仓交易保证金标准收取保证金。</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第十三条</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同一交易编码持仓平仓，交易所在计算保证金时</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视为</w:t>
      </w:r>
      <w:proofErr w:type="gramStart"/>
      <w:r>
        <w:rPr>
          <w:rFonts w:ascii="Times New Roman" w:eastAsia="仿宋_GB2312" w:hAnsi="Times New Roman" w:hint="eastAsia"/>
          <w:color w:val="333333"/>
          <w:kern w:val="0"/>
          <w:sz w:val="32"/>
          <w:szCs w:val="32"/>
          <w:shd w:val="clear" w:color="auto" w:fill="FFFFFF"/>
        </w:rPr>
        <w:t>先平非组合</w:t>
      </w:r>
      <w:proofErr w:type="gramEnd"/>
      <w:r>
        <w:rPr>
          <w:rFonts w:ascii="Times New Roman" w:eastAsia="仿宋_GB2312" w:hAnsi="Times New Roman" w:hint="eastAsia"/>
          <w:color w:val="333333"/>
          <w:kern w:val="0"/>
          <w:sz w:val="32"/>
          <w:szCs w:val="32"/>
          <w:shd w:val="clear" w:color="auto" w:fill="FFFFFF"/>
        </w:rPr>
        <w:t>持仓后平组合持仓，组合持仓内部按照组合优先级从低到高顺序进行平仓。</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第十四条对同时满足本办法有关调整交易保证金规定的合约，其交易保证金按照规定交易保证金数值中的较大值收取。</w:t>
      </w:r>
    </w:p>
    <w:p w:rsidR="00104D85" w:rsidRDefault="00104D85" w:rsidP="00104D85">
      <w:pPr>
        <w:widowControl/>
        <w:shd w:val="clear" w:color="auto" w:fill="FFFFFF"/>
        <w:jc w:val="center"/>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第三章</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涨跌停板制度</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第十五条交易所实行价格涨跌停板制度，由交易所制定各期货合约的每日最大价格波动幅度。交易所可以根据市场情况调整各合约涨跌停板幅度。</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对同时满足本办法有关调整涨跌停板幅度规定的合约，其涨跌停板幅度按照规定涨跌停板幅度数值中的较大值确定。</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lastRenderedPageBreak/>
        <w:t xml:space="preserve">　　第十六条各品种期货合约交割月份以前的月份涨跌停板幅度为上一交易日结算价的</w:t>
      </w:r>
      <w:r>
        <w:rPr>
          <w:rFonts w:ascii="Times New Roman" w:eastAsia="仿宋_GB2312" w:hAnsi="Times New Roman"/>
          <w:color w:val="333333"/>
          <w:kern w:val="0"/>
          <w:sz w:val="32"/>
          <w:szCs w:val="32"/>
          <w:shd w:val="clear" w:color="auto" w:fill="FFFFFF"/>
        </w:rPr>
        <w:t>4%</w:t>
      </w:r>
      <w:r>
        <w:rPr>
          <w:rFonts w:ascii="Times New Roman" w:eastAsia="仿宋_GB2312" w:hAnsi="Times New Roman" w:hint="eastAsia"/>
          <w:color w:val="333333"/>
          <w:kern w:val="0"/>
          <w:sz w:val="32"/>
          <w:szCs w:val="32"/>
          <w:shd w:val="clear" w:color="auto" w:fill="FFFFFF"/>
        </w:rPr>
        <w:t>，交割月份的涨跌停板幅度为上一交易日结算价的</w:t>
      </w:r>
      <w:r>
        <w:rPr>
          <w:rFonts w:ascii="Times New Roman" w:eastAsia="仿宋_GB2312" w:hAnsi="Times New Roman"/>
          <w:color w:val="333333"/>
          <w:kern w:val="0"/>
          <w:sz w:val="32"/>
          <w:szCs w:val="32"/>
          <w:shd w:val="clear" w:color="auto" w:fill="FFFFFF"/>
        </w:rPr>
        <w:t>6%</w:t>
      </w:r>
      <w:r>
        <w:rPr>
          <w:rFonts w:ascii="Times New Roman" w:eastAsia="仿宋_GB2312" w:hAnsi="Times New Roman" w:hint="eastAsia"/>
          <w:color w:val="333333"/>
          <w:kern w:val="0"/>
          <w:sz w:val="32"/>
          <w:szCs w:val="32"/>
          <w:shd w:val="clear" w:color="auto" w:fill="FFFFFF"/>
        </w:rPr>
        <w:t>。</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新上市期货合约的涨跌停板幅度为合约规定涨跌停板幅度的两倍，如合约有成交则于下一交易日恢复到合约规定的涨跌停板幅度；如合约无成交，则下一交易日继续执行前一交易日涨跌停板幅度。</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第十七条当某期货合约以涨跌停板价格申报时，成交撮合原则实行平仓优先和时间优先的原则。</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第十八条涨</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跌</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停板单边无连续报价是指某一期货合约在某一交易日收市前</w:t>
      </w:r>
      <w:r>
        <w:rPr>
          <w:rFonts w:ascii="Times New Roman" w:eastAsia="仿宋_GB2312" w:hAnsi="Times New Roman"/>
          <w:color w:val="333333"/>
          <w:kern w:val="0"/>
          <w:sz w:val="32"/>
          <w:szCs w:val="32"/>
          <w:shd w:val="clear" w:color="auto" w:fill="FFFFFF"/>
        </w:rPr>
        <w:t>5</w:t>
      </w:r>
      <w:r>
        <w:rPr>
          <w:rFonts w:ascii="Times New Roman" w:eastAsia="仿宋_GB2312" w:hAnsi="Times New Roman" w:hint="eastAsia"/>
          <w:color w:val="333333"/>
          <w:kern w:val="0"/>
          <w:sz w:val="32"/>
          <w:szCs w:val="32"/>
          <w:shd w:val="clear" w:color="auto" w:fill="FFFFFF"/>
        </w:rPr>
        <w:t>分钟内出现只有停板价位的买入</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卖出</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申报、没有停板价位的卖出</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买入</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申报</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或者一有卖出</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买入</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申报就成交、但未打开停板价位的情况。</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第十九条当交易所上市的商品期货合约在某一交易日（该交易日记为第</w:t>
      </w:r>
      <w:r>
        <w:rPr>
          <w:rFonts w:ascii="Times New Roman" w:eastAsia="仿宋_GB2312" w:hAnsi="Times New Roman"/>
          <w:color w:val="333333"/>
          <w:kern w:val="0"/>
          <w:sz w:val="32"/>
          <w:szCs w:val="32"/>
          <w:shd w:val="clear" w:color="auto" w:fill="FFFFFF"/>
        </w:rPr>
        <w:t>N</w:t>
      </w:r>
      <w:proofErr w:type="gramStart"/>
      <w:r>
        <w:rPr>
          <w:rFonts w:ascii="Times New Roman" w:eastAsia="仿宋_GB2312" w:hAnsi="Times New Roman" w:hint="eastAsia"/>
          <w:color w:val="333333"/>
          <w:kern w:val="0"/>
          <w:sz w:val="32"/>
          <w:szCs w:val="32"/>
          <w:shd w:val="clear" w:color="auto" w:fill="FFFFFF"/>
        </w:rPr>
        <w:t>个</w:t>
      </w:r>
      <w:proofErr w:type="gramEnd"/>
      <w:r>
        <w:rPr>
          <w:rFonts w:ascii="Times New Roman" w:eastAsia="仿宋_GB2312" w:hAnsi="Times New Roman" w:hint="eastAsia"/>
          <w:color w:val="333333"/>
          <w:kern w:val="0"/>
          <w:sz w:val="32"/>
          <w:szCs w:val="32"/>
          <w:shd w:val="clear" w:color="auto" w:fill="FFFFFF"/>
        </w:rPr>
        <w:t>交易日，之后第</w:t>
      </w:r>
      <w:r>
        <w:rPr>
          <w:rFonts w:ascii="Times New Roman" w:eastAsia="仿宋_GB2312" w:hAnsi="Times New Roman"/>
          <w:color w:val="333333"/>
          <w:kern w:val="0"/>
          <w:sz w:val="32"/>
          <w:szCs w:val="32"/>
          <w:shd w:val="clear" w:color="auto" w:fill="FFFFFF"/>
        </w:rPr>
        <w:t>1</w:t>
      </w:r>
      <w:r>
        <w:rPr>
          <w:rFonts w:ascii="Times New Roman" w:eastAsia="仿宋_GB2312" w:hAnsi="Times New Roman" w:hint="eastAsia"/>
          <w:color w:val="333333"/>
          <w:kern w:val="0"/>
          <w:sz w:val="32"/>
          <w:szCs w:val="32"/>
          <w:shd w:val="clear" w:color="auto" w:fill="FFFFFF"/>
        </w:rPr>
        <w:t>个、第</w:t>
      </w:r>
      <w:r>
        <w:rPr>
          <w:rFonts w:ascii="Times New Roman" w:eastAsia="仿宋_GB2312" w:hAnsi="Times New Roman"/>
          <w:color w:val="333333"/>
          <w:kern w:val="0"/>
          <w:sz w:val="32"/>
          <w:szCs w:val="32"/>
          <w:shd w:val="clear" w:color="auto" w:fill="FFFFFF"/>
        </w:rPr>
        <w:t>2</w:t>
      </w:r>
      <w:r>
        <w:rPr>
          <w:rFonts w:ascii="Times New Roman" w:eastAsia="仿宋_GB2312" w:hAnsi="Times New Roman" w:hint="eastAsia"/>
          <w:color w:val="333333"/>
          <w:kern w:val="0"/>
          <w:sz w:val="32"/>
          <w:szCs w:val="32"/>
          <w:shd w:val="clear" w:color="auto" w:fill="FFFFFF"/>
        </w:rPr>
        <w:t>个、第</w:t>
      </w:r>
      <w:r>
        <w:rPr>
          <w:rFonts w:ascii="Times New Roman" w:eastAsia="仿宋_GB2312" w:hAnsi="Times New Roman"/>
          <w:color w:val="333333"/>
          <w:kern w:val="0"/>
          <w:sz w:val="32"/>
          <w:szCs w:val="32"/>
          <w:shd w:val="clear" w:color="auto" w:fill="FFFFFF"/>
        </w:rPr>
        <w:t>3</w:t>
      </w:r>
      <w:r>
        <w:rPr>
          <w:rFonts w:ascii="Times New Roman" w:eastAsia="仿宋_GB2312" w:hAnsi="Times New Roman" w:hint="eastAsia"/>
          <w:color w:val="333333"/>
          <w:kern w:val="0"/>
          <w:sz w:val="32"/>
          <w:szCs w:val="32"/>
          <w:shd w:val="clear" w:color="auto" w:fill="FFFFFF"/>
        </w:rPr>
        <w:t>个交易日分别记为第</w:t>
      </w:r>
      <w:r>
        <w:rPr>
          <w:rFonts w:ascii="Times New Roman" w:eastAsia="仿宋_GB2312" w:hAnsi="Times New Roman"/>
          <w:color w:val="333333"/>
          <w:kern w:val="0"/>
          <w:sz w:val="32"/>
          <w:szCs w:val="32"/>
          <w:shd w:val="clear" w:color="auto" w:fill="FFFFFF"/>
        </w:rPr>
        <w:t>N+1</w:t>
      </w:r>
      <w:r>
        <w:rPr>
          <w:rFonts w:ascii="Times New Roman" w:eastAsia="仿宋_GB2312" w:hAnsi="Times New Roman" w:hint="eastAsia"/>
          <w:color w:val="333333"/>
          <w:kern w:val="0"/>
          <w:sz w:val="32"/>
          <w:szCs w:val="32"/>
          <w:shd w:val="clear" w:color="auto" w:fill="FFFFFF"/>
        </w:rPr>
        <w:t>、第</w:t>
      </w:r>
      <w:r>
        <w:rPr>
          <w:rFonts w:ascii="Times New Roman" w:eastAsia="仿宋_GB2312" w:hAnsi="Times New Roman"/>
          <w:color w:val="333333"/>
          <w:kern w:val="0"/>
          <w:sz w:val="32"/>
          <w:szCs w:val="32"/>
          <w:shd w:val="clear" w:color="auto" w:fill="FFFFFF"/>
        </w:rPr>
        <w:t>N+2</w:t>
      </w:r>
      <w:r>
        <w:rPr>
          <w:rFonts w:ascii="Times New Roman" w:eastAsia="仿宋_GB2312" w:hAnsi="Times New Roman" w:hint="eastAsia"/>
          <w:color w:val="333333"/>
          <w:kern w:val="0"/>
          <w:sz w:val="32"/>
          <w:szCs w:val="32"/>
          <w:shd w:val="clear" w:color="auto" w:fill="FFFFFF"/>
        </w:rPr>
        <w:t>、第</w:t>
      </w:r>
      <w:r>
        <w:rPr>
          <w:rFonts w:ascii="Times New Roman" w:eastAsia="仿宋_GB2312" w:hAnsi="Times New Roman"/>
          <w:color w:val="333333"/>
          <w:kern w:val="0"/>
          <w:sz w:val="32"/>
          <w:szCs w:val="32"/>
          <w:shd w:val="clear" w:color="auto" w:fill="FFFFFF"/>
        </w:rPr>
        <w:t>N+3</w:t>
      </w:r>
      <w:r>
        <w:rPr>
          <w:rFonts w:ascii="Times New Roman" w:eastAsia="仿宋_GB2312" w:hAnsi="Times New Roman" w:hint="eastAsia"/>
          <w:color w:val="333333"/>
          <w:kern w:val="0"/>
          <w:sz w:val="32"/>
          <w:szCs w:val="32"/>
          <w:shd w:val="clear" w:color="auto" w:fill="FFFFFF"/>
        </w:rPr>
        <w:t>个交易日，以此类推）出现涨跌停板单边无连续报价的情况，则该</w:t>
      </w:r>
      <w:proofErr w:type="gramStart"/>
      <w:r>
        <w:rPr>
          <w:rFonts w:ascii="Times New Roman" w:eastAsia="仿宋_GB2312" w:hAnsi="Times New Roman" w:hint="eastAsia"/>
          <w:color w:val="333333"/>
          <w:kern w:val="0"/>
          <w:sz w:val="32"/>
          <w:szCs w:val="32"/>
          <w:shd w:val="clear" w:color="auto" w:fill="FFFFFF"/>
        </w:rPr>
        <w:t>合约第</w:t>
      </w:r>
      <w:proofErr w:type="gramEnd"/>
      <w:r>
        <w:rPr>
          <w:rFonts w:ascii="Times New Roman" w:eastAsia="仿宋_GB2312" w:hAnsi="Times New Roman"/>
          <w:color w:val="333333"/>
          <w:kern w:val="0"/>
          <w:sz w:val="32"/>
          <w:szCs w:val="32"/>
          <w:shd w:val="clear" w:color="auto" w:fill="FFFFFF"/>
        </w:rPr>
        <w:t>N+1</w:t>
      </w:r>
      <w:r>
        <w:rPr>
          <w:rFonts w:ascii="Times New Roman" w:eastAsia="仿宋_GB2312" w:hAnsi="Times New Roman" w:hint="eastAsia"/>
          <w:color w:val="333333"/>
          <w:kern w:val="0"/>
          <w:sz w:val="32"/>
          <w:szCs w:val="32"/>
          <w:shd w:val="clear" w:color="auto" w:fill="FFFFFF"/>
        </w:rPr>
        <w:t>个交易日涨跌停板幅度在第</w:t>
      </w:r>
      <w:r>
        <w:rPr>
          <w:rFonts w:ascii="Times New Roman" w:eastAsia="仿宋_GB2312" w:hAnsi="Times New Roman"/>
          <w:color w:val="333333"/>
          <w:kern w:val="0"/>
          <w:sz w:val="32"/>
          <w:szCs w:val="32"/>
          <w:shd w:val="clear" w:color="auto" w:fill="FFFFFF"/>
        </w:rPr>
        <w:t>N</w:t>
      </w:r>
      <w:proofErr w:type="gramStart"/>
      <w:r>
        <w:rPr>
          <w:rFonts w:ascii="Times New Roman" w:eastAsia="仿宋_GB2312" w:hAnsi="Times New Roman" w:hint="eastAsia"/>
          <w:color w:val="333333"/>
          <w:kern w:val="0"/>
          <w:sz w:val="32"/>
          <w:szCs w:val="32"/>
          <w:shd w:val="clear" w:color="auto" w:fill="FFFFFF"/>
        </w:rPr>
        <w:t>个</w:t>
      </w:r>
      <w:proofErr w:type="gramEnd"/>
      <w:r>
        <w:rPr>
          <w:rFonts w:ascii="Times New Roman" w:eastAsia="仿宋_GB2312" w:hAnsi="Times New Roman" w:hint="eastAsia"/>
          <w:color w:val="333333"/>
          <w:kern w:val="0"/>
          <w:sz w:val="32"/>
          <w:szCs w:val="32"/>
          <w:shd w:val="clear" w:color="auto" w:fill="FFFFFF"/>
        </w:rPr>
        <w:t>交易日涨跌停板幅度的基础上增加</w:t>
      </w:r>
      <w:r>
        <w:rPr>
          <w:rFonts w:ascii="Times New Roman" w:eastAsia="仿宋_GB2312" w:hAnsi="Times New Roman"/>
          <w:color w:val="333333"/>
          <w:kern w:val="0"/>
          <w:sz w:val="32"/>
          <w:szCs w:val="32"/>
          <w:shd w:val="clear" w:color="auto" w:fill="FFFFFF"/>
        </w:rPr>
        <w:t>3</w:t>
      </w:r>
      <w:r>
        <w:rPr>
          <w:rFonts w:ascii="Times New Roman" w:eastAsia="仿宋_GB2312" w:hAnsi="Times New Roman" w:hint="eastAsia"/>
          <w:color w:val="333333"/>
          <w:kern w:val="0"/>
          <w:sz w:val="32"/>
          <w:szCs w:val="32"/>
          <w:shd w:val="clear" w:color="auto" w:fill="FFFFFF"/>
        </w:rPr>
        <w:t>个百分点（例，如果第</w:t>
      </w:r>
      <w:r>
        <w:rPr>
          <w:rFonts w:ascii="Times New Roman" w:eastAsia="仿宋_GB2312" w:hAnsi="Times New Roman"/>
          <w:color w:val="333333"/>
          <w:kern w:val="0"/>
          <w:sz w:val="32"/>
          <w:szCs w:val="32"/>
          <w:shd w:val="clear" w:color="auto" w:fill="FFFFFF"/>
        </w:rPr>
        <w:t>N</w:t>
      </w:r>
      <w:proofErr w:type="gramStart"/>
      <w:r>
        <w:rPr>
          <w:rFonts w:ascii="Times New Roman" w:eastAsia="仿宋_GB2312" w:hAnsi="Times New Roman" w:hint="eastAsia"/>
          <w:color w:val="333333"/>
          <w:kern w:val="0"/>
          <w:sz w:val="32"/>
          <w:szCs w:val="32"/>
          <w:shd w:val="clear" w:color="auto" w:fill="FFFFFF"/>
        </w:rPr>
        <w:t>个</w:t>
      </w:r>
      <w:proofErr w:type="gramEnd"/>
      <w:r>
        <w:rPr>
          <w:rFonts w:ascii="Times New Roman" w:eastAsia="仿宋_GB2312" w:hAnsi="Times New Roman" w:hint="eastAsia"/>
          <w:color w:val="333333"/>
          <w:kern w:val="0"/>
          <w:sz w:val="32"/>
          <w:szCs w:val="32"/>
          <w:shd w:val="clear" w:color="auto" w:fill="FFFFFF"/>
        </w:rPr>
        <w:t>交易日涨跌停板幅度为前一交易日结算价的</w:t>
      </w:r>
      <w:r>
        <w:rPr>
          <w:rFonts w:ascii="Times New Roman" w:eastAsia="仿宋_GB2312" w:hAnsi="Times New Roman"/>
          <w:color w:val="333333"/>
          <w:kern w:val="0"/>
          <w:sz w:val="32"/>
          <w:szCs w:val="32"/>
          <w:shd w:val="clear" w:color="auto" w:fill="FFFFFF"/>
        </w:rPr>
        <w:t>4%</w:t>
      </w:r>
      <w:r>
        <w:rPr>
          <w:rFonts w:ascii="Times New Roman" w:eastAsia="仿宋_GB2312" w:hAnsi="Times New Roman" w:hint="eastAsia"/>
          <w:color w:val="333333"/>
          <w:kern w:val="0"/>
          <w:sz w:val="32"/>
          <w:szCs w:val="32"/>
          <w:shd w:val="clear" w:color="auto" w:fill="FFFFFF"/>
        </w:rPr>
        <w:t>，则第</w:t>
      </w:r>
      <w:r>
        <w:rPr>
          <w:rFonts w:ascii="Times New Roman" w:eastAsia="仿宋_GB2312" w:hAnsi="Times New Roman"/>
          <w:color w:val="333333"/>
          <w:kern w:val="0"/>
          <w:sz w:val="32"/>
          <w:szCs w:val="32"/>
          <w:shd w:val="clear" w:color="auto" w:fill="FFFFFF"/>
        </w:rPr>
        <w:t>N+1</w:t>
      </w:r>
      <w:r>
        <w:rPr>
          <w:rFonts w:ascii="Times New Roman" w:eastAsia="仿宋_GB2312" w:hAnsi="Times New Roman" w:hint="eastAsia"/>
          <w:color w:val="333333"/>
          <w:kern w:val="0"/>
          <w:sz w:val="32"/>
          <w:szCs w:val="32"/>
          <w:shd w:val="clear" w:color="auto" w:fill="FFFFFF"/>
        </w:rPr>
        <w:t>个交易日涨跌停板幅度则为第</w:t>
      </w:r>
      <w:r>
        <w:rPr>
          <w:rFonts w:ascii="Times New Roman" w:eastAsia="仿宋_GB2312" w:hAnsi="Times New Roman"/>
          <w:color w:val="333333"/>
          <w:kern w:val="0"/>
          <w:sz w:val="32"/>
          <w:szCs w:val="32"/>
          <w:shd w:val="clear" w:color="auto" w:fill="FFFFFF"/>
        </w:rPr>
        <w:t>N</w:t>
      </w:r>
      <w:proofErr w:type="gramStart"/>
      <w:r>
        <w:rPr>
          <w:rFonts w:ascii="Times New Roman" w:eastAsia="仿宋_GB2312" w:hAnsi="Times New Roman" w:hint="eastAsia"/>
          <w:color w:val="333333"/>
          <w:kern w:val="0"/>
          <w:sz w:val="32"/>
          <w:szCs w:val="32"/>
          <w:shd w:val="clear" w:color="auto" w:fill="FFFFFF"/>
        </w:rPr>
        <w:t>个</w:t>
      </w:r>
      <w:proofErr w:type="gramEnd"/>
      <w:r>
        <w:rPr>
          <w:rFonts w:ascii="Times New Roman" w:eastAsia="仿宋_GB2312" w:hAnsi="Times New Roman" w:hint="eastAsia"/>
          <w:color w:val="333333"/>
          <w:kern w:val="0"/>
          <w:sz w:val="32"/>
          <w:szCs w:val="32"/>
          <w:shd w:val="clear" w:color="auto" w:fill="FFFFFF"/>
        </w:rPr>
        <w:t>交易日结算价的</w:t>
      </w:r>
      <w:r>
        <w:rPr>
          <w:rFonts w:ascii="Times New Roman" w:eastAsia="仿宋_GB2312" w:hAnsi="Times New Roman"/>
          <w:color w:val="333333"/>
          <w:kern w:val="0"/>
          <w:sz w:val="32"/>
          <w:szCs w:val="32"/>
          <w:shd w:val="clear" w:color="auto" w:fill="FFFFFF"/>
        </w:rPr>
        <w:t>7%</w:t>
      </w:r>
      <w:r>
        <w:rPr>
          <w:rFonts w:ascii="Times New Roman" w:eastAsia="仿宋_GB2312" w:hAnsi="Times New Roman" w:hint="eastAsia"/>
          <w:color w:val="333333"/>
          <w:kern w:val="0"/>
          <w:sz w:val="32"/>
          <w:szCs w:val="32"/>
          <w:shd w:val="clear" w:color="auto" w:fill="FFFFFF"/>
        </w:rPr>
        <w:t>，下同）。第</w:t>
      </w:r>
      <w:r>
        <w:rPr>
          <w:rFonts w:ascii="Times New Roman" w:eastAsia="仿宋_GB2312" w:hAnsi="Times New Roman"/>
          <w:color w:val="333333"/>
          <w:kern w:val="0"/>
          <w:sz w:val="32"/>
          <w:szCs w:val="32"/>
          <w:shd w:val="clear" w:color="auto" w:fill="FFFFFF"/>
        </w:rPr>
        <w:t>N</w:t>
      </w:r>
      <w:proofErr w:type="gramStart"/>
      <w:r>
        <w:rPr>
          <w:rFonts w:ascii="Times New Roman" w:eastAsia="仿宋_GB2312" w:hAnsi="Times New Roman" w:hint="eastAsia"/>
          <w:color w:val="333333"/>
          <w:kern w:val="0"/>
          <w:sz w:val="32"/>
          <w:szCs w:val="32"/>
          <w:shd w:val="clear" w:color="auto" w:fill="FFFFFF"/>
        </w:rPr>
        <w:t>个</w:t>
      </w:r>
      <w:proofErr w:type="gramEnd"/>
      <w:r>
        <w:rPr>
          <w:rFonts w:ascii="Times New Roman" w:eastAsia="仿宋_GB2312" w:hAnsi="Times New Roman" w:hint="eastAsia"/>
          <w:color w:val="333333"/>
          <w:kern w:val="0"/>
          <w:sz w:val="32"/>
          <w:szCs w:val="32"/>
          <w:shd w:val="clear" w:color="auto" w:fill="FFFFFF"/>
        </w:rPr>
        <w:t>交易日结算时，该合约交易保</w:t>
      </w:r>
      <w:r>
        <w:rPr>
          <w:rFonts w:ascii="Times New Roman" w:eastAsia="仿宋_GB2312" w:hAnsi="Times New Roman" w:hint="eastAsia"/>
          <w:color w:val="333333"/>
          <w:kern w:val="0"/>
          <w:sz w:val="32"/>
          <w:szCs w:val="32"/>
          <w:shd w:val="clear" w:color="auto" w:fill="FFFFFF"/>
        </w:rPr>
        <w:lastRenderedPageBreak/>
        <w:t>证金标准为在第</w:t>
      </w:r>
      <w:r>
        <w:rPr>
          <w:rFonts w:ascii="Times New Roman" w:eastAsia="仿宋_GB2312" w:hAnsi="Times New Roman"/>
          <w:color w:val="333333"/>
          <w:kern w:val="0"/>
          <w:sz w:val="32"/>
          <w:szCs w:val="32"/>
          <w:shd w:val="clear" w:color="auto" w:fill="FFFFFF"/>
        </w:rPr>
        <w:t>N+1</w:t>
      </w:r>
      <w:r>
        <w:rPr>
          <w:rFonts w:ascii="Times New Roman" w:eastAsia="仿宋_GB2312" w:hAnsi="Times New Roman" w:hint="eastAsia"/>
          <w:color w:val="333333"/>
          <w:kern w:val="0"/>
          <w:sz w:val="32"/>
          <w:szCs w:val="32"/>
          <w:shd w:val="clear" w:color="auto" w:fill="FFFFFF"/>
        </w:rPr>
        <w:t>个交易日涨跌停板幅度的基础上增加</w:t>
      </w:r>
      <w:r>
        <w:rPr>
          <w:rFonts w:ascii="Times New Roman" w:eastAsia="仿宋_GB2312" w:hAnsi="Times New Roman"/>
          <w:color w:val="333333"/>
          <w:kern w:val="0"/>
          <w:sz w:val="32"/>
          <w:szCs w:val="32"/>
          <w:shd w:val="clear" w:color="auto" w:fill="FFFFFF"/>
        </w:rPr>
        <w:t>2</w:t>
      </w:r>
      <w:r>
        <w:rPr>
          <w:rFonts w:ascii="Times New Roman" w:eastAsia="仿宋_GB2312" w:hAnsi="Times New Roman" w:hint="eastAsia"/>
          <w:color w:val="333333"/>
          <w:kern w:val="0"/>
          <w:sz w:val="32"/>
          <w:szCs w:val="32"/>
          <w:shd w:val="clear" w:color="auto" w:fill="FFFFFF"/>
        </w:rPr>
        <w:t>个百分点（例，如果第</w:t>
      </w:r>
      <w:r>
        <w:rPr>
          <w:rFonts w:ascii="Times New Roman" w:eastAsia="仿宋_GB2312" w:hAnsi="Times New Roman"/>
          <w:color w:val="333333"/>
          <w:kern w:val="0"/>
          <w:sz w:val="32"/>
          <w:szCs w:val="32"/>
          <w:shd w:val="clear" w:color="auto" w:fill="FFFFFF"/>
        </w:rPr>
        <w:t>N+1</w:t>
      </w:r>
      <w:r>
        <w:rPr>
          <w:rFonts w:ascii="Times New Roman" w:eastAsia="仿宋_GB2312" w:hAnsi="Times New Roman" w:hint="eastAsia"/>
          <w:color w:val="333333"/>
          <w:kern w:val="0"/>
          <w:sz w:val="32"/>
          <w:szCs w:val="32"/>
          <w:shd w:val="clear" w:color="auto" w:fill="FFFFFF"/>
        </w:rPr>
        <w:t>个交易日涨跌停板幅度为第</w:t>
      </w:r>
      <w:r>
        <w:rPr>
          <w:rFonts w:ascii="Times New Roman" w:eastAsia="仿宋_GB2312" w:hAnsi="Times New Roman"/>
          <w:color w:val="333333"/>
          <w:kern w:val="0"/>
          <w:sz w:val="32"/>
          <w:szCs w:val="32"/>
          <w:shd w:val="clear" w:color="auto" w:fill="FFFFFF"/>
        </w:rPr>
        <w:t>N</w:t>
      </w:r>
      <w:proofErr w:type="gramStart"/>
      <w:r>
        <w:rPr>
          <w:rFonts w:ascii="Times New Roman" w:eastAsia="仿宋_GB2312" w:hAnsi="Times New Roman" w:hint="eastAsia"/>
          <w:color w:val="333333"/>
          <w:kern w:val="0"/>
          <w:sz w:val="32"/>
          <w:szCs w:val="32"/>
          <w:shd w:val="clear" w:color="auto" w:fill="FFFFFF"/>
        </w:rPr>
        <w:t>个</w:t>
      </w:r>
      <w:proofErr w:type="gramEnd"/>
      <w:r>
        <w:rPr>
          <w:rFonts w:ascii="Times New Roman" w:eastAsia="仿宋_GB2312" w:hAnsi="Times New Roman" w:hint="eastAsia"/>
          <w:color w:val="333333"/>
          <w:kern w:val="0"/>
          <w:sz w:val="32"/>
          <w:szCs w:val="32"/>
          <w:shd w:val="clear" w:color="auto" w:fill="FFFFFF"/>
        </w:rPr>
        <w:t>交易日结算价的</w:t>
      </w:r>
      <w:r>
        <w:rPr>
          <w:rFonts w:ascii="Times New Roman" w:eastAsia="仿宋_GB2312" w:hAnsi="Times New Roman"/>
          <w:color w:val="333333"/>
          <w:kern w:val="0"/>
          <w:sz w:val="32"/>
          <w:szCs w:val="32"/>
          <w:shd w:val="clear" w:color="auto" w:fill="FFFFFF"/>
        </w:rPr>
        <w:t>7%</w:t>
      </w:r>
      <w:r>
        <w:rPr>
          <w:rFonts w:ascii="Times New Roman" w:eastAsia="仿宋_GB2312" w:hAnsi="Times New Roman" w:hint="eastAsia"/>
          <w:color w:val="333333"/>
          <w:kern w:val="0"/>
          <w:sz w:val="32"/>
          <w:szCs w:val="32"/>
          <w:shd w:val="clear" w:color="auto" w:fill="FFFFFF"/>
        </w:rPr>
        <w:t>，则第</w:t>
      </w:r>
      <w:r>
        <w:rPr>
          <w:rFonts w:ascii="Times New Roman" w:eastAsia="仿宋_GB2312" w:hAnsi="Times New Roman"/>
          <w:color w:val="333333"/>
          <w:kern w:val="0"/>
          <w:sz w:val="32"/>
          <w:szCs w:val="32"/>
          <w:shd w:val="clear" w:color="auto" w:fill="FFFFFF"/>
        </w:rPr>
        <w:t>N</w:t>
      </w:r>
      <w:proofErr w:type="gramStart"/>
      <w:r>
        <w:rPr>
          <w:rFonts w:ascii="Times New Roman" w:eastAsia="仿宋_GB2312" w:hAnsi="Times New Roman" w:hint="eastAsia"/>
          <w:color w:val="333333"/>
          <w:kern w:val="0"/>
          <w:sz w:val="32"/>
          <w:szCs w:val="32"/>
          <w:shd w:val="clear" w:color="auto" w:fill="FFFFFF"/>
        </w:rPr>
        <w:t>个</w:t>
      </w:r>
      <w:proofErr w:type="gramEnd"/>
      <w:r>
        <w:rPr>
          <w:rFonts w:ascii="Times New Roman" w:eastAsia="仿宋_GB2312" w:hAnsi="Times New Roman" w:hint="eastAsia"/>
          <w:color w:val="333333"/>
          <w:kern w:val="0"/>
          <w:sz w:val="32"/>
          <w:szCs w:val="32"/>
          <w:shd w:val="clear" w:color="auto" w:fill="FFFFFF"/>
        </w:rPr>
        <w:t>交易日结算时，该合约保证金标准为合约价值的</w:t>
      </w:r>
      <w:r>
        <w:rPr>
          <w:rFonts w:ascii="Times New Roman" w:eastAsia="仿宋_GB2312" w:hAnsi="Times New Roman"/>
          <w:color w:val="333333"/>
          <w:kern w:val="0"/>
          <w:sz w:val="32"/>
          <w:szCs w:val="32"/>
          <w:shd w:val="clear" w:color="auto" w:fill="FFFFFF"/>
        </w:rPr>
        <w:t>9%</w:t>
      </w:r>
      <w:r>
        <w:rPr>
          <w:rFonts w:ascii="Times New Roman" w:eastAsia="仿宋_GB2312" w:hAnsi="Times New Roman" w:hint="eastAsia"/>
          <w:color w:val="333333"/>
          <w:kern w:val="0"/>
          <w:sz w:val="32"/>
          <w:szCs w:val="32"/>
          <w:shd w:val="clear" w:color="auto" w:fill="FFFFFF"/>
        </w:rPr>
        <w:t>，下同）。若该合约调整后的交易保证金标准低于第</w:t>
      </w:r>
      <w:r>
        <w:rPr>
          <w:rFonts w:ascii="Times New Roman" w:eastAsia="仿宋_GB2312" w:hAnsi="Times New Roman"/>
          <w:color w:val="333333"/>
          <w:kern w:val="0"/>
          <w:sz w:val="32"/>
          <w:szCs w:val="32"/>
          <w:shd w:val="clear" w:color="auto" w:fill="FFFFFF"/>
        </w:rPr>
        <w:t>N</w:t>
      </w:r>
      <w:proofErr w:type="gramStart"/>
      <w:r>
        <w:rPr>
          <w:rFonts w:ascii="Times New Roman" w:eastAsia="仿宋_GB2312" w:hAnsi="Times New Roman" w:hint="eastAsia"/>
          <w:color w:val="333333"/>
          <w:kern w:val="0"/>
          <w:sz w:val="32"/>
          <w:szCs w:val="32"/>
          <w:shd w:val="clear" w:color="auto" w:fill="FFFFFF"/>
        </w:rPr>
        <w:t>个</w:t>
      </w:r>
      <w:proofErr w:type="gramEnd"/>
      <w:r>
        <w:rPr>
          <w:rFonts w:ascii="Times New Roman" w:eastAsia="仿宋_GB2312" w:hAnsi="Times New Roman" w:hint="eastAsia"/>
          <w:color w:val="333333"/>
          <w:kern w:val="0"/>
          <w:sz w:val="32"/>
          <w:szCs w:val="32"/>
          <w:shd w:val="clear" w:color="auto" w:fill="FFFFFF"/>
        </w:rPr>
        <w:t>交易日前一交易日结算时的交易保证金标准，则按第</w:t>
      </w:r>
      <w:r>
        <w:rPr>
          <w:rFonts w:ascii="Times New Roman" w:eastAsia="仿宋_GB2312" w:hAnsi="Times New Roman"/>
          <w:color w:val="333333"/>
          <w:kern w:val="0"/>
          <w:sz w:val="32"/>
          <w:szCs w:val="32"/>
          <w:shd w:val="clear" w:color="auto" w:fill="FFFFFF"/>
        </w:rPr>
        <w:t>N</w:t>
      </w:r>
      <w:proofErr w:type="gramStart"/>
      <w:r>
        <w:rPr>
          <w:rFonts w:ascii="Times New Roman" w:eastAsia="仿宋_GB2312" w:hAnsi="Times New Roman" w:hint="eastAsia"/>
          <w:color w:val="333333"/>
          <w:kern w:val="0"/>
          <w:sz w:val="32"/>
          <w:szCs w:val="32"/>
          <w:shd w:val="clear" w:color="auto" w:fill="FFFFFF"/>
        </w:rPr>
        <w:t>个</w:t>
      </w:r>
      <w:proofErr w:type="gramEnd"/>
      <w:r>
        <w:rPr>
          <w:rFonts w:ascii="Times New Roman" w:eastAsia="仿宋_GB2312" w:hAnsi="Times New Roman" w:hint="eastAsia"/>
          <w:color w:val="333333"/>
          <w:kern w:val="0"/>
          <w:sz w:val="32"/>
          <w:szCs w:val="32"/>
          <w:shd w:val="clear" w:color="auto" w:fill="FFFFFF"/>
        </w:rPr>
        <w:t>交易日前一交易日结算时该合约交易保证金标准收取；若第</w:t>
      </w:r>
      <w:r>
        <w:rPr>
          <w:rFonts w:ascii="Times New Roman" w:eastAsia="仿宋_GB2312" w:hAnsi="Times New Roman"/>
          <w:color w:val="333333"/>
          <w:kern w:val="0"/>
          <w:sz w:val="32"/>
          <w:szCs w:val="32"/>
          <w:shd w:val="clear" w:color="auto" w:fill="FFFFFF"/>
        </w:rPr>
        <w:t>N</w:t>
      </w:r>
      <w:proofErr w:type="gramStart"/>
      <w:r>
        <w:rPr>
          <w:rFonts w:ascii="Times New Roman" w:eastAsia="仿宋_GB2312" w:hAnsi="Times New Roman" w:hint="eastAsia"/>
          <w:color w:val="333333"/>
          <w:kern w:val="0"/>
          <w:sz w:val="32"/>
          <w:szCs w:val="32"/>
          <w:shd w:val="clear" w:color="auto" w:fill="FFFFFF"/>
        </w:rPr>
        <w:t>个</w:t>
      </w:r>
      <w:proofErr w:type="gramEnd"/>
      <w:r>
        <w:rPr>
          <w:rFonts w:ascii="Times New Roman" w:eastAsia="仿宋_GB2312" w:hAnsi="Times New Roman" w:hint="eastAsia"/>
          <w:color w:val="333333"/>
          <w:kern w:val="0"/>
          <w:sz w:val="32"/>
          <w:szCs w:val="32"/>
          <w:shd w:val="clear" w:color="auto" w:fill="FFFFFF"/>
        </w:rPr>
        <w:t>交易日为该合约上市挂盘后第</w:t>
      </w:r>
      <w:r>
        <w:rPr>
          <w:rFonts w:ascii="Times New Roman" w:eastAsia="仿宋_GB2312" w:hAnsi="Times New Roman"/>
          <w:color w:val="333333"/>
          <w:kern w:val="0"/>
          <w:sz w:val="32"/>
          <w:szCs w:val="32"/>
          <w:shd w:val="clear" w:color="auto" w:fill="FFFFFF"/>
        </w:rPr>
        <w:t>1</w:t>
      </w:r>
      <w:r>
        <w:rPr>
          <w:rFonts w:ascii="Times New Roman" w:eastAsia="仿宋_GB2312" w:hAnsi="Times New Roman" w:hint="eastAsia"/>
          <w:color w:val="333333"/>
          <w:kern w:val="0"/>
          <w:sz w:val="32"/>
          <w:szCs w:val="32"/>
          <w:shd w:val="clear" w:color="auto" w:fill="FFFFFF"/>
        </w:rPr>
        <w:t>个交易日，则该合约上市挂盘当日交易保证金标准视为该</w:t>
      </w:r>
      <w:proofErr w:type="gramStart"/>
      <w:r>
        <w:rPr>
          <w:rFonts w:ascii="Times New Roman" w:eastAsia="仿宋_GB2312" w:hAnsi="Times New Roman" w:hint="eastAsia"/>
          <w:color w:val="333333"/>
          <w:kern w:val="0"/>
          <w:sz w:val="32"/>
          <w:szCs w:val="32"/>
          <w:shd w:val="clear" w:color="auto" w:fill="FFFFFF"/>
        </w:rPr>
        <w:t>合约第</w:t>
      </w:r>
      <w:proofErr w:type="gramEnd"/>
      <w:r>
        <w:rPr>
          <w:rFonts w:ascii="Times New Roman" w:eastAsia="仿宋_GB2312" w:hAnsi="Times New Roman"/>
          <w:color w:val="333333"/>
          <w:kern w:val="0"/>
          <w:sz w:val="32"/>
          <w:szCs w:val="32"/>
          <w:shd w:val="clear" w:color="auto" w:fill="FFFFFF"/>
        </w:rPr>
        <w:t>N</w:t>
      </w:r>
      <w:proofErr w:type="gramStart"/>
      <w:r>
        <w:rPr>
          <w:rFonts w:ascii="Times New Roman" w:eastAsia="仿宋_GB2312" w:hAnsi="Times New Roman" w:hint="eastAsia"/>
          <w:color w:val="333333"/>
          <w:kern w:val="0"/>
          <w:sz w:val="32"/>
          <w:szCs w:val="32"/>
          <w:shd w:val="clear" w:color="auto" w:fill="FFFFFF"/>
        </w:rPr>
        <w:t>个</w:t>
      </w:r>
      <w:proofErr w:type="gramEnd"/>
      <w:r>
        <w:rPr>
          <w:rFonts w:ascii="Times New Roman" w:eastAsia="仿宋_GB2312" w:hAnsi="Times New Roman" w:hint="eastAsia"/>
          <w:color w:val="333333"/>
          <w:kern w:val="0"/>
          <w:sz w:val="32"/>
          <w:szCs w:val="32"/>
          <w:shd w:val="clear" w:color="auto" w:fill="FFFFFF"/>
        </w:rPr>
        <w:t>交易日前一交易日结算时的交易保证金标准。</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若第</w:t>
      </w:r>
      <w:r>
        <w:rPr>
          <w:rFonts w:ascii="Times New Roman" w:eastAsia="仿宋_GB2312" w:hAnsi="Times New Roman"/>
          <w:color w:val="333333"/>
          <w:kern w:val="0"/>
          <w:sz w:val="32"/>
          <w:szCs w:val="32"/>
          <w:shd w:val="clear" w:color="auto" w:fill="FFFFFF"/>
        </w:rPr>
        <w:t>N+1</w:t>
      </w:r>
      <w:r>
        <w:rPr>
          <w:rFonts w:ascii="Times New Roman" w:eastAsia="仿宋_GB2312" w:hAnsi="Times New Roman" w:hint="eastAsia"/>
          <w:color w:val="333333"/>
          <w:kern w:val="0"/>
          <w:sz w:val="32"/>
          <w:szCs w:val="32"/>
          <w:shd w:val="clear" w:color="auto" w:fill="FFFFFF"/>
        </w:rPr>
        <w:t>个交易日出现与第</w:t>
      </w:r>
      <w:r>
        <w:rPr>
          <w:rFonts w:ascii="Times New Roman" w:eastAsia="仿宋_GB2312" w:hAnsi="Times New Roman"/>
          <w:color w:val="333333"/>
          <w:kern w:val="0"/>
          <w:sz w:val="32"/>
          <w:szCs w:val="32"/>
          <w:shd w:val="clear" w:color="auto" w:fill="FFFFFF"/>
        </w:rPr>
        <w:t>N</w:t>
      </w:r>
      <w:proofErr w:type="gramStart"/>
      <w:r>
        <w:rPr>
          <w:rFonts w:ascii="Times New Roman" w:eastAsia="仿宋_GB2312" w:hAnsi="Times New Roman" w:hint="eastAsia"/>
          <w:color w:val="333333"/>
          <w:kern w:val="0"/>
          <w:sz w:val="32"/>
          <w:szCs w:val="32"/>
          <w:shd w:val="clear" w:color="auto" w:fill="FFFFFF"/>
        </w:rPr>
        <w:t>个</w:t>
      </w:r>
      <w:proofErr w:type="gramEnd"/>
      <w:r>
        <w:rPr>
          <w:rFonts w:ascii="Times New Roman" w:eastAsia="仿宋_GB2312" w:hAnsi="Times New Roman" w:hint="eastAsia"/>
          <w:color w:val="333333"/>
          <w:kern w:val="0"/>
          <w:sz w:val="32"/>
          <w:szCs w:val="32"/>
          <w:shd w:val="clear" w:color="auto" w:fill="FFFFFF"/>
        </w:rPr>
        <w:t>交易日同方向涨跌停板单边无连续报价的情况，则该</w:t>
      </w:r>
      <w:proofErr w:type="gramStart"/>
      <w:r>
        <w:rPr>
          <w:rFonts w:ascii="Times New Roman" w:eastAsia="仿宋_GB2312" w:hAnsi="Times New Roman" w:hint="eastAsia"/>
          <w:color w:val="333333"/>
          <w:kern w:val="0"/>
          <w:sz w:val="32"/>
          <w:szCs w:val="32"/>
          <w:shd w:val="clear" w:color="auto" w:fill="FFFFFF"/>
        </w:rPr>
        <w:t>合约第</w:t>
      </w:r>
      <w:proofErr w:type="gramEnd"/>
      <w:r>
        <w:rPr>
          <w:rFonts w:ascii="Times New Roman" w:eastAsia="仿宋_GB2312" w:hAnsi="Times New Roman"/>
          <w:color w:val="333333"/>
          <w:kern w:val="0"/>
          <w:sz w:val="32"/>
          <w:szCs w:val="32"/>
          <w:shd w:val="clear" w:color="auto" w:fill="FFFFFF"/>
        </w:rPr>
        <w:t>N+2</w:t>
      </w:r>
      <w:r>
        <w:rPr>
          <w:rFonts w:ascii="Times New Roman" w:eastAsia="仿宋_GB2312" w:hAnsi="Times New Roman" w:hint="eastAsia"/>
          <w:color w:val="333333"/>
          <w:kern w:val="0"/>
          <w:sz w:val="32"/>
          <w:szCs w:val="32"/>
          <w:shd w:val="clear" w:color="auto" w:fill="FFFFFF"/>
        </w:rPr>
        <w:t>个交易日涨跌停板幅度在第</w:t>
      </w:r>
      <w:r>
        <w:rPr>
          <w:rFonts w:ascii="Times New Roman" w:eastAsia="仿宋_GB2312" w:hAnsi="Times New Roman"/>
          <w:color w:val="333333"/>
          <w:kern w:val="0"/>
          <w:sz w:val="32"/>
          <w:szCs w:val="32"/>
          <w:shd w:val="clear" w:color="auto" w:fill="FFFFFF"/>
        </w:rPr>
        <w:t>N+1</w:t>
      </w:r>
      <w:r>
        <w:rPr>
          <w:rFonts w:ascii="Times New Roman" w:eastAsia="仿宋_GB2312" w:hAnsi="Times New Roman" w:hint="eastAsia"/>
          <w:color w:val="333333"/>
          <w:kern w:val="0"/>
          <w:sz w:val="32"/>
          <w:szCs w:val="32"/>
          <w:shd w:val="clear" w:color="auto" w:fill="FFFFFF"/>
        </w:rPr>
        <w:t>个交易日涨跌停板幅度的基础上增加</w:t>
      </w:r>
      <w:r>
        <w:rPr>
          <w:rFonts w:ascii="Times New Roman" w:eastAsia="仿宋_GB2312" w:hAnsi="Times New Roman"/>
          <w:color w:val="333333"/>
          <w:kern w:val="0"/>
          <w:sz w:val="32"/>
          <w:szCs w:val="32"/>
          <w:shd w:val="clear" w:color="auto" w:fill="FFFFFF"/>
        </w:rPr>
        <w:t>2</w:t>
      </w:r>
      <w:r>
        <w:rPr>
          <w:rFonts w:ascii="Times New Roman" w:eastAsia="仿宋_GB2312" w:hAnsi="Times New Roman" w:hint="eastAsia"/>
          <w:color w:val="333333"/>
          <w:kern w:val="0"/>
          <w:sz w:val="32"/>
          <w:szCs w:val="32"/>
          <w:shd w:val="clear" w:color="auto" w:fill="FFFFFF"/>
        </w:rPr>
        <w:t>个百分点。第</w:t>
      </w:r>
      <w:r>
        <w:rPr>
          <w:rFonts w:ascii="Times New Roman" w:eastAsia="仿宋_GB2312" w:hAnsi="Times New Roman"/>
          <w:color w:val="333333"/>
          <w:kern w:val="0"/>
          <w:sz w:val="32"/>
          <w:szCs w:val="32"/>
          <w:shd w:val="clear" w:color="auto" w:fill="FFFFFF"/>
        </w:rPr>
        <w:t>N+1</w:t>
      </w:r>
      <w:r>
        <w:rPr>
          <w:rFonts w:ascii="Times New Roman" w:eastAsia="仿宋_GB2312" w:hAnsi="Times New Roman" w:hint="eastAsia"/>
          <w:color w:val="333333"/>
          <w:kern w:val="0"/>
          <w:sz w:val="32"/>
          <w:szCs w:val="32"/>
          <w:shd w:val="clear" w:color="auto" w:fill="FFFFFF"/>
        </w:rPr>
        <w:t>个交易日结算时，该合约交易保证金标准为在第</w:t>
      </w:r>
      <w:r>
        <w:rPr>
          <w:rFonts w:ascii="Times New Roman" w:eastAsia="仿宋_GB2312" w:hAnsi="Times New Roman"/>
          <w:color w:val="333333"/>
          <w:kern w:val="0"/>
          <w:sz w:val="32"/>
          <w:szCs w:val="32"/>
          <w:shd w:val="clear" w:color="auto" w:fill="FFFFFF"/>
        </w:rPr>
        <w:t>N+2</w:t>
      </w:r>
      <w:r>
        <w:rPr>
          <w:rFonts w:ascii="Times New Roman" w:eastAsia="仿宋_GB2312" w:hAnsi="Times New Roman" w:hint="eastAsia"/>
          <w:color w:val="333333"/>
          <w:kern w:val="0"/>
          <w:sz w:val="32"/>
          <w:szCs w:val="32"/>
          <w:shd w:val="clear" w:color="auto" w:fill="FFFFFF"/>
        </w:rPr>
        <w:t>个交易日涨跌停板幅度的基础上增加</w:t>
      </w:r>
      <w:r>
        <w:rPr>
          <w:rFonts w:ascii="Times New Roman" w:eastAsia="仿宋_GB2312" w:hAnsi="Times New Roman"/>
          <w:color w:val="333333"/>
          <w:kern w:val="0"/>
          <w:sz w:val="32"/>
          <w:szCs w:val="32"/>
          <w:shd w:val="clear" w:color="auto" w:fill="FFFFFF"/>
        </w:rPr>
        <w:t>2</w:t>
      </w:r>
      <w:r>
        <w:rPr>
          <w:rFonts w:ascii="Times New Roman" w:eastAsia="仿宋_GB2312" w:hAnsi="Times New Roman" w:hint="eastAsia"/>
          <w:color w:val="333333"/>
          <w:kern w:val="0"/>
          <w:sz w:val="32"/>
          <w:szCs w:val="32"/>
          <w:shd w:val="clear" w:color="auto" w:fill="FFFFFF"/>
        </w:rPr>
        <w:t>个百分点。若该合约调整后的交易保证金标准低于第</w:t>
      </w:r>
      <w:r>
        <w:rPr>
          <w:rFonts w:ascii="Times New Roman" w:eastAsia="仿宋_GB2312" w:hAnsi="Times New Roman"/>
          <w:color w:val="333333"/>
          <w:kern w:val="0"/>
          <w:sz w:val="32"/>
          <w:szCs w:val="32"/>
          <w:shd w:val="clear" w:color="auto" w:fill="FFFFFF"/>
        </w:rPr>
        <w:t>N</w:t>
      </w:r>
      <w:proofErr w:type="gramStart"/>
      <w:r>
        <w:rPr>
          <w:rFonts w:ascii="Times New Roman" w:eastAsia="仿宋_GB2312" w:hAnsi="Times New Roman" w:hint="eastAsia"/>
          <w:color w:val="333333"/>
          <w:kern w:val="0"/>
          <w:sz w:val="32"/>
          <w:szCs w:val="32"/>
          <w:shd w:val="clear" w:color="auto" w:fill="FFFFFF"/>
        </w:rPr>
        <w:t>个</w:t>
      </w:r>
      <w:proofErr w:type="gramEnd"/>
      <w:r>
        <w:rPr>
          <w:rFonts w:ascii="Times New Roman" w:eastAsia="仿宋_GB2312" w:hAnsi="Times New Roman" w:hint="eastAsia"/>
          <w:color w:val="333333"/>
          <w:kern w:val="0"/>
          <w:sz w:val="32"/>
          <w:szCs w:val="32"/>
          <w:shd w:val="clear" w:color="auto" w:fill="FFFFFF"/>
        </w:rPr>
        <w:t>交易日结算时的交易保证金标准，则按第</w:t>
      </w:r>
      <w:r>
        <w:rPr>
          <w:rFonts w:ascii="Times New Roman" w:eastAsia="仿宋_GB2312" w:hAnsi="Times New Roman"/>
          <w:color w:val="333333"/>
          <w:kern w:val="0"/>
          <w:sz w:val="32"/>
          <w:szCs w:val="32"/>
          <w:shd w:val="clear" w:color="auto" w:fill="FFFFFF"/>
        </w:rPr>
        <w:t>N</w:t>
      </w:r>
      <w:proofErr w:type="gramStart"/>
      <w:r>
        <w:rPr>
          <w:rFonts w:ascii="Times New Roman" w:eastAsia="仿宋_GB2312" w:hAnsi="Times New Roman" w:hint="eastAsia"/>
          <w:color w:val="333333"/>
          <w:kern w:val="0"/>
          <w:sz w:val="32"/>
          <w:szCs w:val="32"/>
          <w:shd w:val="clear" w:color="auto" w:fill="FFFFFF"/>
        </w:rPr>
        <w:t>个</w:t>
      </w:r>
      <w:proofErr w:type="gramEnd"/>
      <w:r>
        <w:rPr>
          <w:rFonts w:ascii="Times New Roman" w:eastAsia="仿宋_GB2312" w:hAnsi="Times New Roman" w:hint="eastAsia"/>
          <w:color w:val="333333"/>
          <w:kern w:val="0"/>
          <w:sz w:val="32"/>
          <w:szCs w:val="32"/>
          <w:shd w:val="clear" w:color="auto" w:fill="FFFFFF"/>
        </w:rPr>
        <w:t>交易日结算时该合约的交易保证金标准收取。</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若第</w:t>
      </w:r>
      <w:r>
        <w:rPr>
          <w:rFonts w:ascii="Times New Roman" w:eastAsia="仿宋_GB2312" w:hAnsi="Times New Roman"/>
          <w:color w:val="333333"/>
          <w:kern w:val="0"/>
          <w:sz w:val="32"/>
          <w:szCs w:val="32"/>
          <w:shd w:val="clear" w:color="auto" w:fill="FFFFFF"/>
        </w:rPr>
        <w:t>N+2</w:t>
      </w:r>
      <w:r>
        <w:rPr>
          <w:rFonts w:ascii="Times New Roman" w:eastAsia="仿宋_GB2312" w:hAnsi="Times New Roman" w:hint="eastAsia"/>
          <w:color w:val="333333"/>
          <w:kern w:val="0"/>
          <w:sz w:val="32"/>
          <w:szCs w:val="32"/>
          <w:shd w:val="clear" w:color="auto" w:fill="FFFFFF"/>
        </w:rPr>
        <w:t>个及以后交易日出现与第</w:t>
      </w:r>
      <w:r>
        <w:rPr>
          <w:rFonts w:ascii="Times New Roman" w:eastAsia="仿宋_GB2312" w:hAnsi="Times New Roman"/>
          <w:color w:val="333333"/>
          <w:kern w:val="0"/>
          <w:sz w:val="32"/>
          <w:szCs w:val="32"/>
          <w:shd w:val="clear" w:color="auto" w:fill="FFFFFF"/>
        </w:rPr>
        <w:t>N+1</w:t>
      </w:r>
      <w:r>
        <w:rPr>
          <w:rFonts w:ascii="Times New Roman" w:eastAsia="仿宋_GB2312" w:hAnsi="Times New Roman" w:hint="eastAsia"/>
          <w:color w:val="333333"/>
          <w:kern w:val="0"/>
          <w:sz w:val="32"/>
          <w:szCs w:val="32"/>
          <w:shd w:val="clear" w:color="auto" w:fill="FFFFFF"/>
        </w:rPr>
        <w:t>个交易日同方向涨跌停板单边无连续报价情况，则从第</w:t>
      </w:r>
      <w:r>
        <w:rPr>
          <w:rFonts w:ascii="Times New Roman" w:eastAsia="仿宋_GB2312" w:hAnsi="Times New Roman"/>
          <w:color w:val="333333"/>
          <w:kern w:val="0"/>
          <w:sz w:val="32"/>
          <w:szCs w:val="32"/>
          <w:shd w:val="clear" w:color="auto" w:fill="FFFFFF"/>
        </w:rPr>
        <w:t>N+3</w:t>
      </w:r>
      <w:r>
        <w:rPr>
          <w:rFonts w:ascii="Times New Roman" w:eastAsia="仿宋_GB2312" w:hAnsi="Times New Roman" w:hint="eastAsia"/>
          <w:color w:val="333333"/>
          <w:kern w:val="0"/>
          <w:sz w:val="32"/>
          <w:szCs w:val="32"/>
          <w:shd w:val="clear" w:color="auto" w:fill="FFFFFF"/>
        </w:rPr>
        <w:t>个交易日开始，涨跌停板幅度和交易保证金标准与第</w:t>
      </w:r>
      <w:r>
        <w:rPr>
          <w:rFonts w:ascii="Times New Roman" w:eastAsia="仿宋_GB2312" w:hAnsi="Times New Roman"/>
          <w:color w:val="333333"/>
          <w:kern w:val="0"/>
          <w:sz w:val="32"/>
          <w:szCs w:val="32"/>
          <w:shd w:val="clear" w:color="auto" w:fill="FFFFFF"/>
        </w:rPr>
        <w:t>N+2</w:t>
      </w:r>
      <w:r>
        <w:rPr>
          <w:rFonts w:ascii="Times New Roman" w:eastAsia="仿宋_GB2312" w:hAnsi="Times New Roman" w:hint="eastAsia"/>
          <w:color w:val="333333"/>
          <w:kern w:val="0"/>
          <w:sz w:val="32"/>
          <w:szCs w:val="32"/>
          <w:shd w:val="clear" w:color="auto" w:fill="FFFFFF"/>
        </w:rPr>
        <w:t>个交易日一致，直至合约不再出现同方向涨跌停板单边无连续报价的情况。</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lastRenderedPageBreak/>
        <w:t xml:space="preserve">　　第二十条当第</w:t>
      </w:r>
      <w:r>
        <w:rPr>
          <w:rFonts w:ascii="Times New Roman" w:eastAsia="仿宋_GB2312" w:hAnsi="Times New Roman"/>
          <w:color w:val="333333"/>
          <w:kern w:val="0"/>
          <w:sz w:val="32"/>
          <w:szCs w:val="32"/>
          <w:shd w:val="clear" w:color="auto" w:fill="FFFFFF"/>
        </w:rPr>
        <w:t>N+1</w:t>
      </w:r>
      <w:r>
        <w:rPr>
          <w:rFonts w:ascii="Times New Roman" w:eastAsia="仿宋_GB2312" w:hAnsi="Times New Roman" w:hint="eastAsia"/>
          <w:color w:val="333333"/>
          <w:kern w:val="0"/>
          <w:sz w:val="32"/>
          <w:szCs w:val="32"/>
          <w:shd w:val="clear" w:color="auto" w:fill="FFFFFF"/>
        </w:rPr>
        <w:t>个及以后交易日出现与前一交易日反方向涨跌停板单边无连续报价的情况，则该交易日</w:t>
      </w:r>
      <w:proofErr w:type="gramStart"/>
      <w:r>
        <w:rPr>
          <w:rFonts w:ascii="Times New Roman" w:eastAsia="仿宋_GB2312" w:hAnsi="Times New Roman" w:hint="eastAsia"/>
          <w:color w:val="333333"/>
          <w:kern w:val="0"/>
          <w:sz w:val="32"/>
          <w:szCs w:val="32"/>
          <w:shd w:val="clear" w:color="auto" w:fill="FFFFFF"/>
        </w:rPr>
        <w:t>视为第</w:t>
      </w:r>
      <w:proofErr w:type="gramEnd"/>
      <w:r>
        <w:rPr>
          <w:rFonts w:ascii="Times New Roman" w:eastAsia="仿宋_GB2312" w:hAnsi="Times New Roman"/>
          <w:color w:val="333333"/>
          <w:kern w:val="0"/>
          <w:sz w:val="32"/>
          <w:szCs w:val="32"/>
          <w:shd w:val="clear" w:color="auto" w:fill="FFFFFF"/>
        </w:rPr>
        <w:t>N</w:t>
      </w:r>
      <w:proofErr w:type="gramStart"/>
      <w:r>
        <w:rPr>
          <w:rFonts w:ascii="Times New Roman" w:eastAsia="仿宋_GB2312" w:hAnsi="Times New Roman" w:hint="eastAsia"/>
          <w:color w:val="333333"/>
          <w:kern w:val="0"/>
          <w:sz w:val="32"/>
          <w:szCs w:val="32"/>
          <w:shd w:val="clear" w:color="auto" w:fill="FFFFFF"/>
        </w:rPr>
        <w:t>个</w:t>
      </w:r>
      <w:proofErr w:type="gramEnd"/>
      <w:r>
        <w:rPr>
          <w:rFonts w:ascii="Times New Roman" w:eastAsia="仿宋_GB2312" w:hAnsi="Times New Roman" w:hint="eastAsia"/>
          <w:color w:val="333333"/>
          <w:kern w:val="0"/>
          <w:sz w:val="32"/>
          <w:szCs w:val="32"/>
          <w:shd w:val="clear" w:color="auto" w:fill="FFFFFF"/>
        </w:rPr>
        <w:t>交易日。</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第二十一条当第</w:t>
      </w:r>
      <w:r>
        <w:rPr>
          <w:rFonts w:ascii="Times New Roman" w:eastAsia="仿宋_GB2312" w:hAnsi="Times New Roman"/>
          <w:color w:val="333333"/>
          <w:kern w:val="0"/>
          <w:sz w:val="32"/>
          <w:szCs w:val="32"/>
          <w:shd w:val="clear" w:color="auto" w:fill="FFFFFF"/>
        </w:rPr>
        <w:t>N+1</w:t>
      </w:r>
      <w:r>
        <w:rPr>
          <w:rFonts w:ascii="Times New Roman" w:eastAsia="仿宋_GB2312" w:hAnsi="Times New Roman" w:hint="eastAsia"/>
          <w:color w:val="333333"/>
          <w:kern w:val="0"/>
          <w:sz w:val="32"/>
          <w:szCs w:val="32"/>
          <w:shd w:val="clear" w:color="auto" w:fill="FFFFFF"/>
        </w:rPr>
        <w:t>个及以后交易日未出现涨跌停板单边无连续报价的情况，则该交易日结算时交易保证金恢复到正常水平，下一交易日的涨跌停板幅度恢复到正常水平。</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第二十二条若某期货合约在第</w:t>
      </w:r>
      <w:r>
        <w:rPr>
          <w:rFonts w:ascii="Times New Roman" w:eastAsia="仿宋_GB2312" w:hAnsi="Times New Roman"/>
          <w:color w:val="333333"/>
          <w:kern w:val="0"/>
          <w:sz w:val="32"/>
          <w:szCs w:val="32"/>
          <w:shd w:val="clear" w:color="auto" w:fill="FFFFFF"/>
        </w:rPr>
        <w:t>N+2</w:t>
      </w:r>
      <w:r>
        <w:rPr>
          <w:rFonts w:ascii="Times New Roman" w:eastAsia="仿宋_GB2312" w:hAnsi="Times New Roman" w:hint="eastAsia"/>
          <w:color w:val="333333"/>
          <w:kern w:val="0"/>
          <w:sz w:val="32"/>
          <w:szCs w:val="32"/>
          <w:shd w:val="clear" w:color="auto" w:fill="FFFFFF"/>
        </w:rPr>
        <w:t>个交易日出现与第</w:t>
      </w:r>
      <w:r>
        <w:rPr>
          <w:rFonts w:ascii="Times New Roman" w:eastAsia="仿宋_GB2312" w:hAnsi="Times New Roman"/>
          <w:color w:val="333333"/>
          <w:kern w:val="0"/>
          <w:sz w:val="32"/>
          <w:szCs w:val="32"/>
          <w:shd w:val="clear" w:color="auto" w:fill="FFFFFF"/>
        </w:rPr>
        <w:t>N+1</w:t>
      </w:r>
      <w:r>
        <w:rPr>
          <w:rFonts w:ascii="Times New Roman" w:eastAsia="仿宋_GB2312" w:hAnsi="Times New Roman" w:hint="eastAsia"/>
          <w:color w:val="333333"/>
          <w:kern w:val="0"/>
          <w:sz w:val="32"/>
          <w:szCs w:val="32"/>
          <w:shd w:val="clear" w:color="auto" w:fill="FFFFFF"/>
        </w:rPr>
        <w:t>个交易日同方向涨跌停板单边无连续报价的情况时，若第</w:t>
      </w:r>
      <w:r>
        <w:rPr>
          <w:rFonts w:ascii="Times New Roman" w:eastAsia="仿宋_GB2312" w:hAnsi="Times New Roman"/>
          <w:color w:val="333333"/>
          <w:kern w:val="0"/>
          <w:sz w:val="32"/>
          <w:szCs w:val="32"/>
          <w:shd w:val="clear" w:color="auto" w:fill="FFFFFF"/>
        </w:rPr>
        <w:t>N+2</w:t>
      </w:r>
      <w:r>
        <w:rPr>
          <w:rFonts w:ascii="Times New Roman" w:eastAsia="仿宋_GB2312" w:hAnsi="Times New Roman" w:hint="eastAsia"/>
          <w:color w:val="333333"/>
          <w:kern w:val="0"/>
          <w:sz w:val="32"/>
          <w:szCs w:val="32"/>
          <w:shd w:val="clear" w:color="auto" w:fill="FFFFFF"/>
        </w:rPr>
        <w:t>个交易日是该期货合约的最后交易日，则该合约直接进入交割；若第</w:t>
      </w:r>
      <w:r>
        <w:rPr>
          <w:rFonts w:ascii="Times New Roman" w:eastAsia="仿宋_GB2312" w:hAnsi="Times New Roman"/>
          <w:color w:val="333333"/>
          <w:kern w:val="0"/>
          <w:sz w:val="32"/>
          <w:szCs w:val="32"/>
          <w:shd w:val="clear" w:color="auto" w:fill="FFFFFF"/>
        </w:rPr>
        <w:t>N+3</w:t>
      </w:r>
      <w:r>
        <w:rPr>
          <w:rFonts w:ascii="Times New Roman" w:eastAsia="仿宋_GB2312" w:hAnsi="Times New Roman" w:hint="eastAsia"/>
          <w:color w:val="333333"/>
          <w:kern w:val="0"/>
          <w:sz w:val="32"/>
          <w:szCs w:val="32"/>
          <w:shd w:val="clear" w:color="auto" w:fill="FFFFFF"/>
        </w:rPr>
        <w:t>个交易日是该期货合约的最后交易日，则第</w:t>
      </w:r>
      <w:r>
        <w:rPr>
          <w:rFonts w:ascii="Times New Roman" w:eastAsia="仿宋_GB2312" w:hAnsi="Times New Roman"/>
          <w:color w:val="333333"/>
          <w:kern w:val="0"/>
          <w:sz w:val="32"/>
          <w:szCs w:val="32"/>
          <w:shd w:val="clear" w:color="auto" w:fill="FFFFFF"/>
        </w:rPr>
        <w:t>N+3</w:t>
      </w:r>
      <w:r>
        <w:rPr>
          <w:rFonts w:ascii="Times New Roman" w:eastAsia="仿宋_GB2312" w:hAnsi="Times New Roman" w:hint="eastAsia"/>
          <w:color w:val="333333"/>
          <w:kern w:val="0"/>
          <w:sz w:val="32"/>
          <w:szCs w:val="32"/>
          <w:shd w:val="clear" w:color="auto" w:fill="FFFFFF"/>
        </w:rPr>
        <w:t>个交易日该合约按第</w:t>
      </w:r>
      <w:r>
        <w:rPr>
          <w:rFonts w:ascii="Times New Roman" w:eastAsia="仿宋_GB2312" w:hAnsi="Times New Roman"/>
          <w:color w:val="333333"/>
          <w:kern w:val="0"/>
          <w:sz w:val="32"/>
          <w:szCs w:val="32"/>
          <w:shd w:val="clear" w:color="auto" w:fill="FFFFFF"/>
        </w:rPr>
        <w:t>N+2</w:t>
      </w:r>
      <w:r>
        <w:rPr>
          <w:rFonts w:ascii="Times New Roman" w:eastAsia="仿宋_GB2312" w:hAnsi="Times New Roman" w:hint="eastAsia"/>
          <w:color w:val="333333"/>
          <w:kern w:val="0"/>
          <w:sz w:val="32"/>
          <w:szCs w:val="32"/>
          <w:shd w:val="clear" w:color="auto" w:fill="FFFFFF"/>
        </w:rPr>
        <w:t>个交易日的涨跌停板和保证金水平继续交易。除上述两种情况之外，交易所可在第</w:t>
      </w:r>
      <w:r>
        <w:rPr>
          <w:rFonts w:ascii="Times New Roman" w:eastAsia="仿宋_GB2312" w:hAnsi="Times New Roman"/>
          <w:color w:val="333333"/>
          <w:kern w:val="0"/>
          <w:sz w:val="32"/>
          <w:szCs w:val="32"/>
          <w:shd w:val="clear" w:color="auto" w:fill="FFFFFF"/>
        </w:rPr>
        <w:t>N+2</w:t>
      </w:r>
      <w:r>
        <w:rPr>
          <w:rFonts w:ascii="Times New Roman" w:eastAsia="仿宋_GB2312" w:hAnsi="Times New Roman" w:hint="eastAsia"/>
          <w:color w:val="333333"/>
          <w:kern w:val="0"/>
          <w:sz w:val="32"/>
          <w:szCs w:val="32"/>
          <w:shd w:val="clear" w:color="auto" w:fill="FFFFFF"/>
        </w:rPr>
        <w:t>个交易日收市后决定并公告，对该合约实施下列措施中的一种或多种化解市场风险：</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（一）单边或双边、同比例或不同比例、部分会员或全部会员提高交易保证金；</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（二）调整涨跌停板幅度；</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（三）暂停部分会员或全部会员开新仓；</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（四）限制出金；</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（五）限期平仓；</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（六）强行平仓；</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lastRenderedPageBreak/>
        <w:t xml:space="preserve">　　（七）在第</w:t>
      </w:r>
      <w:r>
        <w:rPr>
          <w:rFonts w:ascii="Times New Roman" w:eastAsia="仿宋_GB2312" w:hAnsi="Times New Roman"/>
          <w:color w:val="333333"/>
          <w:kern w:val="0"/>
          <w:sz w:val="32"/>
          <w:szCs w:val="32"/>
          <w:shd w:val="clear" w:color="auto" w:fill="FFFFFF"/>
        </w:rPr>
        <w:t>N+2</w:t>
      </w:r>
      <w:r>
        <w:rPr>
          <w:rFonts w:ascii="Times New Roman" w:eastAsia="仿宋_GB2312" w:hAnsi="Times New Roman" w:hint="eastAsia"/>
          <w:color w:val="333333"/>
          <w:kern w:val="0"/>
          <w:sz w:val="32"/>
          <w:szCs w:val="32"/>
          <w:shd w:val="clear" w:color="auto" w:fill="FFFFFF"/>
        </w:rPr>
        <w:t>个交易日收市后强制减仓。</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第二十三条强制减仓是指交易所将当日以涨跌停板价申报的未成交平仓报单</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以当日涨跌停板价与该合约净持仓盈利客户</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或非期货公司会员，下同</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按持仓比例自动撮合成交。同一客户持有双向头寸</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则其净持仓部分的平仓报单参与强制减仓计算，其余平仓报单与其对锁持仓自动对冲。具体强制减</w:t>
      </w:r>
      <w:proofErr w:type="gramStart"/>
      <w:r>
        <w:rPr>
          <w:rFonts w:ascii="Times New Roman" w:eastAsia="仿宋_GB2312" w:hAnsi="Times New Roman" w:hint="eastAsia"/>
          <w:color w:val="333333"/>
          <w:kern w:val="0"/>
          <w:sz w:val="32"/>
          <w:szCs w:val="32"/>
          <w:shd w:val="clear" w:color="auto" w:fill="FFFFFF"/>
        </w:rPr>
        <w:t>仓方法</w:t>
      </w:r>
      <w:proofErr w:type="gramEnd"/>
      <w:r>
        <w:rPr>
          <w:rFonts w:ascii="Times New Roman" w:eastAsia="仿宋_GB2312" w:hAnsi="Times New Roman" w:hint="eastAsia"/>
          <w:color w:val="333333"/>
          <w:kern w:val="0"/>
          <w:sz w:val="32"/>
          <w:szCs w:val="32"/>
          <w:shd w:val="clear" w:color="auto" w:fill="FFFFFF"/>
        </w:rPr>
        <w:t>如下：</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（一）申报平仓数量的确定</w:t>
      </w:r>
      <w:r>
        <w:rPr>
          <w:rFonts w:ascii="Times New Roman" w:eastAsia="仿宋_GB2312" w:hAnsi="Times New Roman"/>
          <w:color w:val="333333"/>
          <w:kern w:val="0"/>
          <w:sz w:val="32"/>
          <w:szCs w:val="32"/>
          <w:shd w:val="clear" w:color="auto" w:fill="FFFFFF"/>
        </w:rPr>
        <w:t>:</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在第</w:t>
      </w:r>
      <w:r>
        <w:rPr>
          <w:rFonts w:ascii="Times New Roman" w:eastAsia="仿宋_GB2312" w:hAnsi="Times New Roman"/>
          <w:color w:val="333333"/>
          <w:kern w:val="0"/>
          <w:sz w:val="32"/>
          <w:szCs w:val="32"/>
          <w:shd w:val="clear" w:color="auto" w:fill="FFFFFF"/>
        </w:rPr>
        <w:t>N +2</w:t>
      </w:r>
      <w:r>
        <w:rPr>
          <w:rFonts w:ascii="Times New Roman" w:eastAsia="仿宋_GB2312" w:hAnsi="Times New Roman" w:hint="eastAsia"/>
          <w:color w:val="333333"/>
          <w:kern w:val="0"/>
          <w:sz w:val="32"/>
          <w:szCs w:val="32"/>
          <w:shd w:val="clear" w:color="auto" w:fill="FFFFFF"/>
        </w:rPr>
        <w:t>个交易日收市后</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已在计算机系统中以涨跌停板价申报无法成交的、且客户合约的单位净持仓亏损大于或等于第</w:t>
      </w:r>
      <w:r>
        <w:rPr>
          <w:rFonts w:ascii="Times New Roman" w:eastAsia="仿宋_GB2312" w:hAnsi="Times New Roman"/>
          <w:color w:val="333333"/>
          <w:kern w:val="0"/>
          <w:sz w:val="32"/>
          <w:szCs w:val="32"/>
          <w:shd w:val="clear" w:color="auto" w:fill="FFFFFF"/>
        </w:rPr>
        <w:t>N +2</w:t>
      </w:r>
      <w:r>
        <w:rPr>
          <w:rFonts w:ascii="Times New Roman" w:eastAsia="仿宋_GB2312" w:hAnsi="Times New Roman" w:hint="eastAsia"/>
          <w:color w:val="333333"/>
          <w:kern w:val="0"/>
          <w:sz w:val="32"/>
          <w:szCs w:val="32"/>
          <w:shd w:val="clear" w:color="auto" w:fill="FFFFFF"/>
        </w:rPr>
        <w:t>个交易日结算价的</w:t>
      </w:r>
      <w:r>
        <w:rPr>
          <w:rFonts w:ascii="Times New Roman" w:eastAsia="仿宋_GB2312" w:hAnsi="Times New Roman"/>
          <w:color w:val="333333"/>
          <w:kern w:val="0"/>
          <w:sz w:val="32"/>
          <w:szCs w:val="32"/>
          <w:shd w:val="clear" w:color="auto" w:fill="FFFFFF"/>
        </w:rPr>
        <w:t>5%</w:t>
      </w:r>
      <w:r>
        <w:rPr>
          <w:rFonts w:ascii="Times New Roman" w:eastAsia="仿宋_GB2312" w:hAnsi="Times New Roman" w:hint="eastAsia"/>
          <w:color w:val="333333"/>
          <w:kern w:val="0"/>
          <w:sz w:val="32"/>
          <w:szCs w:val="32"/>
          <w:shd w:val="clear" w:color="auto" w:fill="FFFFFF"/>
        </w:rPr>
        <w:t>（棕榈油合约标准为</w:t>
      </w:r>
      <w:r>
        <w:rPr>
          <w:rFonts w:ascii="Times New Roman" w:eastAsia="仿宋_GB2312" w:hAnsi="Times New Roman"/>
          <w:color w:val="333333"/>
          <w:kern w:val="0"/>
          <w:sz w:val="32"/>
          <w:szCs w:val="32"/>
          <w:shd w:val="clear" w:color="auto" w:fill="FFFFFF"/>
        </w:rPr>
        <w:t>4%</w:t>
      </w:r>
      <w:r>
        <w:rPr>
          <w:rFonts w:ascii="Times New Roman" w:eastAsia="仿宋_GB2312" w:hAnsi="Times New Roman" w:hint="eastAsia"/>
          <w:color w:val="333333"/>
          <w:kern w:val="0"/>
          <w:sz w:val="32"/>
          <w:szCs w:val="32"/>
          <w:shd w:val="clear" w:color="auto" w:fill="FFFFFF"/>
        </w:rPr>
        <w:t>）的所有持仓。</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若客户不愿按上述方法平仓可在收市前撤单</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不作为申报的平仓报单。</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（二）客户单位净持仓盈亏的确定</w:t>
      </w:r>
      <w:r>
        <w:rPr>
          <w:rFonts w:ascii="Times New Roman" w:eastAsia="仿宋_GB2312" w:hAnsi="Times New Roman"/>
          <w:color w:val="333333"/>
          <w:kern w:val="0"/>
          <w:sz w:val="32"/>
          <w:szCs w:val="32"/>
          <w:shd w:val="clear" w:color="auto" w:fill="FFFFFF"/>
        </w:rPr>
        <w:t>:</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w:t>
      </w:r>
      <w:r>
        <w:rPr>
          <w:rFonts w:ascii="Times New Roman" w:eastAsia="仿宋_GB2312" w:hAnsi="Times New Roman"/>
          <w:color w:val="333333"/>
          <w:kern w:val="0"/>
          <w:sz w:val="32"/>
          <w:szCs w:val="32"/>
          <w:shd w:val="clear" w:color="auto" w:fill="FFFFFF"/>
        </w:rPr>
        <w:t>                                               </w:t>
      </w:r>
      <w:r>
        <w:rPr>
          <w:rFonts w:ascii="Times New Roman" w:eastAsia="仿宋_GB2312" w:hAnsi="Times New Roman" w:hint="eastAsia"/>
          <w:color w:val="333333"/>
          <w:kern w:val="0"/>
          <w:sz w:val="32"/>
          <w:szCs w:val="32"/>
          <w:shd w:val="clear" w:color="auto" w:fill="FFFFFF"/>
        </w:rPr>
        <w:t>客户该合约持仓盈亏总和</w:t>
      </w:r>
    </w:p>
    <w:p w:rsidR="00104D85" w:rsidRDefault="00104D85" w:rsidP="00104D85">
      <w:pPr>
        <w:widowControl/>
        <w:shd w:val="clear" w:color="auto" w:fill="FFFFFF"/>
        <w:rPr>
          <w:rFonts w:ascii="Times New Roman" w:eastAsia="仿宋_GB2312" w:hAnsi="Times New Roman"/>
          <w:color w:val="333333"/>
          <w:kern w:val="0"/>
          <w:sz w:val="32"/>
          <w:szCs w:val="32"/>
          <w:shd w:val="clear" w:color="auto" w:fill="FFFFFF"/>
        </w:rPr>
      </w:pPr>
      <w:r>
        <w:rPr>
          <w:rFonts w:ascii="Times New Roman" w:eastAsia="仿宋_GB2312" w:hAnsi="Times New Roman" w:hint="eastAsia"/>
          <w:color w:val="333333"/>
          <w:kern w:val="0"/>
          <w:sz w:val="32"/>
          <w:szCs w:val="32"/>
          <w:shd w:val="clear" w:color="auto" w:fill="FFFFFF"/>
        </w:rPr>
        <w:t>客户该合约单位净持仓盈亏</w:t>
      </w:r>
      <w:r>
        <w:rPr>
          <w:rFonts w:ascii="Times New Roman" w:eastAsia="仿宋_GB2312" w:hAnsi="Times New Roman"/>
          <w:color w:val="333333"/>
          <w:kern w:val="0"/>
          <w:sz w:val="32"/>
          <w:szCs w:val="32"/>
          <w:shd w:val="clear" w:color="auto" w:fill="FFFFFF"/>
        </w:rPr>
        <w:t>=─────────────</w:t>
      </w:r>
      <w:r w:rsidR="003F2BF9">
        <w:rPr>
          <w:rFonts w:ascii="Times New Roman" w:eastAsia="仿宋_GB2312" w:hAnsi="Times New Roman"/>
          <w:color w:val="333333"/>
          <w:kern w:val="0"/>
          <w:sz w:val="32"/>
          <w:szCs w:val="32"/>
          <w:shd w:val="clear" w:color="auto" w:fill="FFFFFF"/>
        </w:rPr>
        <w:t xml:space="preserve"> </w:t>
      </w:r>
    </w:p>
    <w:p w:rsidR="00104D85" w:rsidRDefault="00104D85" w:rsidP="00104D85">
      <w:pPr>
        <w:widowControl/>
        <w:shd w:val="clear" w:color="auto" w:fill="FFFFFF"/>
        <w:ind w:firstLineChars="1100" w:firstLine="352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客户该合约净持仓量</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交易单位</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客户该合约持仓盈亏总和，是指客户该合约的全部持仓按其实际成交价与当日结算价之差计算的盈亏总和。</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（三）净持仓盈利客户平仓范围的确定</w:t>
      </w:r>
      <w:r>
        <w:rPr>
          <w:rFonts w:ascii="Times New Roman" w:eastAsia="仿宋_GB2312" w:hAnsi="Times New Roman"/>
          <w:color w:val="333333"/>
          <w:kern w:val="0"/>
          <w:sz w:val="32"/>
          <w:szCs w:val="32"/>
          <w:shd w:val="clear" w:color="auto" w:fill="FFFFFF"/>
        </w:rPr>
        <w:t>:</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lastRenderedPageBreak/>
        <w:t xml:space="preserve">　　根据上述方法计算的客户单位净持仓盈利大于零的客户的所有投机持仓以及客户单位净持仓盈利大于或等于第</w:t>
      </w:r>
      <w:r>
        <w:rPr>
          <w:rFonts w:ascii="Times New Roman" w:eastAsia="仿宋_GB2312" w:hAnsi="Times New Roman"/>
          <w:color w:val="333333"/>
          <w:kern w:val="0"/>
          <w:sz w:val="32"/>
          <w:szCs w:val="32"/>
          <w:shd w:val="clear" w:color="auto" w:fill="FFFFFF"/>
        </w:rPr>
        <w:t>N +2</w:t>
      </w:r>
      <w:r>
        <w:rPr>
          <w:rFonts w:ascii="Times New Roman" w:eastAsia="仿宋_GB2312" w:hAnsi="Times New Roman" w:hint="eastAsia"/>
          <w:color w:val="333333"/>
          <w:kern w:val="0"/>
          <w:sz w:val="32"/>
          <w:szCs w:val="32"/>
          <w:shd w:val="clear" w:color="auto" w:fill="FFFFFF"/>
        </w:rPr>
        <w:t>个交易日结算价的</w:t>
      </w:r>
      <w:r>
        <w:rPr>
          <w:rFonts w:ascii="Times New Roman" w:eastAsia="仿宋_GB2312" w:hAnsi="Times New Roman"/>
          <w:color w:val="333333"/>
          <w:kern w:val="0"/>
          <w:sz w:val="32"/>
          <w:szCs w:val="32"/>
          <w:shd w:val="clear" w:color="auto" w:fill="FFFFFF"/>
        </w:rPr>
        <w:t>7%</w:t>
      </w:r>
      <w:r>
        <w:rPr>
          <w:rFonts w:ascii="Times New Roman" w:eastAsia="仿宋_GB2312" w:hAnsi="Times New Roman" w:hint="eastAsia"/>
          <w:color w:val="333333"/>
          <w:kern w:val="0"/>
          <w:sz w:val="32"/>
          <w:szCs w:val="32"/>
          <w:shd w:val="clear" w:color="auto" w:fill="FFFFFF"/>
        </w:rPr>
        <w:t>的保值持仓都列入平仓范围。</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（四）平仓数量的分配原则及方法</w:t>
      </w:r>
      <w:r>
        <w:rPr>
          <w:rFonts w:ascii="Times New Roman" w:eastAsia="仿宋_GB2312" w:hAnsi="Times New Roman"/>
          <w:color w:val="333333"/>
          <w:kern w:val="0"/>
          <w:sz w:val="32"/>
          <w:szCs w:val="32"/>
          <w:shd w:val="clear" w:color="auto" w:fill="FFFFFF"/>
        </w:rPr>
        <w:t>:</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w:t>
      </w:r>
      <w:r>
        <w:rPr>
          <w:rFonts w:ascii="Times New Roman" w:eastAsia="仿宋_GB2312" w:hAnsi="Times New Roman"/>
          <w:color w:val="333333"/>
          <w:kern w:val="0"/>
          <w:sz w:val="32"/>
          <w:szCs w:val="32"/>
          <w:shd w:val="clear" w:color="auto" w:fill="FFFFFF"/>
        </w:rPr>
        <w:t xml:space="preserve">1. </w:t>
      </w:r>
      <w:r>
        <w:rPr>
          <w:rFonts w:ascii="Times New Roman" w:eastAsia="仿宋_GB2312" w:hAnsi="Times New Roman" w:hint="eastAsia"/>
          <w:color w:val="333333"/>
          <w:kern w:val="0"/>
          <w:sz w:val="32"/>
          <w:szCs w:val="32"/>
          <w:shd w:val="clear" w:color="auto" w:fill="FFFFFF"/>
        </w:rPr>
        <w:t>平仓数量的分配原则</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w:t>
      </w:r>
      <w:r>
        <w:rPr>
          <w:rFonts w:ascii="Times New Roman" w:eastAsia="仿宋_GB2312" w:hAnsi="Times New Roman"/>
          <w:color w:val="333333"/>
          <w:kern w:val="0"/>
          <w:sz w:val="32"/>
          <w:szCs w:val="32"/>
          <w:shd w:val="clear" w:color="auto" w:fill="FFFFFF"/>
        </w:rPr>
        <w:t>1</w:t>
      </w:r>
      <w:r>
        <w:rPr>
          <w:rFonts w:ascii="Times New Roman" w:eastAsia="仿宋_GB2312" w:hAnsi="Times New Roman" w:hint="eastAsia"/>
          <w:color w:val="333333"/>
          <w:kern w:val="0"/>
          <w:sz w:val="32"/>
          <w:szCs w:val="32"/>
          <w:shd w:val="clear" w:color="auto" w:fill="FFFFFF"/>
        </w:rPr>
        <w:t>）在平仓范围内按盈利的大小和投机与保值的不同分成四级</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逐级进行分配。</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首先分配给属平仓范围内单位净持仓盈利大于或等于第</w:t>
      </w:r>
      <w:r>
        <w:rPr>
          <w:rFonts w:ascii="Times New Roman" w:eastAsia="仿宋_GB2312" w:hAnsi="Times New Roman"/>
          <w:color w:val="333333"/>
          <w:kern w:val="0"/>
          <w:sz w:val="32"/>
          <w:szCs w:val="32"/>
          <w:shd w:val="clear" w:color="auto" w:fill="FFFFFF"/>
        </w:rPr>
        <w:t>N+2</w:t>
      </w:r>
      <w:r>
        <w:rPr>
          <w:rFonts w:ascii="Times New Roman" w:eastAsia="仿宋_GB2312" w:hAnsi="Times New Roman" w:hint="eastAsia"/>
          <w:color w:val="333333"/>
          <w:kern w:val="0"/>
          <w:sz w:val="32"/>
          <w:szCs w:val="32"/>
          <w:shd w:val="clear" w:color="auto" w:fill="FFFFFF"/>
        </w:rPr>
        <w:t>个交易日结算价的</w:t>
      </w:r>
      <w:r>
        <w:rPr>
          <w:rFonts w:ascii="Times New Roman" w:eastAsia="仿宋_GB2312" w:hAnsi="Times New Roman"/>
          <w:color w:val="333333"/>
          <w:kern w:val="0"/>
          <w:sz w:val="32"/>
          <w:szCs w:val="32"/>
          <w:shd w:val="clear" w:color="auto" w:fill="FFFFFF"/>
        </w:rPr>
        <w:t>6%</w:t>
      </w:r>
      <w:r>
        <w:rPr>
          <w:rFonts w:ascii="Times New Roman" w:eastAsia="仿宋_GB2312" w:hAnsi="Times New Roman" w:hint="eastAsia"/>
          <w:color w:val="333333"/>
          <w:kern w:val="0"/>
          <w:sz w:val="32"/>
          <w:szCs w:val="32"/>
          <w:shd w:val="clear" w:color="auto" w:fill="FFFFFF"/>
        </w:rPr>
        <w:t>以上的投机持仓（以下简称盈利</w:t>
      </w:r>
      <w:r>
        <w:rPr>
          <w:rFonts w:ascii="Times New Roman" w:eastAsia="仿宋_GB2312" w:hAnsi="Times New Roman"/>
          <w:color w:val="333333"/>
          <w:kern w:val="0"/>
          <w:sz w:val="32"/>
          <w:szCs w:val="32"/>
          <w:shd w:val="clear" w:color="auto" w:fill="FFFFFF"/>
        </w:rPr>
        <w:t>6%</w:t>
      </w:r>
      <w:r>
        <w:rPr>
          <w:rFonts w:ascii="Times New Roman" w:eastAsia="仿宋_GB2312" w:hAnsi="Times New Roman" w:hint="eastAsia"/>
          <w:color w:val="333333"/>
          <w:kern w:val="0"/>
          <w:sz w:val="32"/>
          <w:szCs w:val="32"/>
          <w:shd w:val="clear" w:color="auto" w:fill="FFFFFF"/>
        </w:rPr>
        <w:t>以上的投机持仓）</w:t>
      </w:r>
      <w:r>
        <w:rPr>
          <w:rFonts w:ascii="Times New Roman" w:eastAsia="仿宋_GB2312" w:hAnsi="Times New Roman"/>
          <w:color w:val="333333"/>
          <w:kern w:val="0"/>
          <w:sz w:val="32"/>
          <w:szCs w:val="32"/>
          <w:shd w:val="clear" w:color="auto" w:fill="FFFFFF"/>
        </w:rPr>
        <w:t>;</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其次分配给单位净持仓盈利大于或等于第</w:t>
      </w:r>
      <w:r>
        <w:rPr>
          <w:rFonts w:ascii="Times New Roman" w:eastAsia="仿宋_GB2312" w:hAnsi="Times New Roman"/>
          <w:color w:val="333333"/>
          <w:kern w:val="0"/>
          <w:sz w:val="32"/>
          <w:szCs w:val="32"/>
          <w:shd w:val="clear" w:color="auto" w:fill="FFFFFF"/>
        </w:rPr>
        <w:t>N+2</w:t>
      </w:r>
      <w:r>
        <w:rPr>
          <w:rFonts w:ascii="Times New Roman" w:eastAsia="仿宋_GB2312" w:hAnsi="Times New Roman" w:hint="eastAsia"/>
          <w:color w:val="333333"/>
          <w:kern w:val="0"/>
          <w:sz w:val="32"/>
          <w:szCs w:val="32"/>
          <w:shd w:val="clear" w:color="auto" w:fill="FFFFFF"/>
        </w:rPr>
        <w:t>个交易日结算价的</w:t>
      </w:r>
      <w:r>
        <w:rPr>
          <w:rFonts w:ascii="Times New Roman" w:eastAsia="仿宋_GB2312" w:hAnsi="Times New Roman"/>
          <w:color w:val="333333"/>
          <w:kern w:val="0"/>
          <w:sz w:val="32"/>
          <w:szCs w:val="32"/>
          <w:shd w:val="clear" w:color="auto" w:fill="FFFFFF"/>
        </w:rPr>
        <w:t>3%</w:t>
      </w:r>
      <w:r>
        <w:rPr>
          <w:rFonts w:ascii="Times New Roman" w:eastAsia="仿宋_GB2312" w:hAnsi="Times New Roman" w:hint="eastAsia"/>
          <w:color w:val="333333"/>
          <w:kern w:val="0"/>
          <w:sz w:val="32"/>
          <w:szCs w:val="32"/>
          <w:shd w:val="clear" w:color="auto" w:fill="FFFFFF"/>
        </w:rPr>
        <w:t>以上而小于</w:t>
      </w:r>
      <w:r>
        <w:rPr>
          <w:rFonts w:ascii="Times New Roman" w:eastAsia="仿宋_GB2312" w:hAnsi="Times New Roman"/>
          <w:color w:val="333333"/>
          <w:kern w:val="0"/>
          <w:sz w:val="32"/>
          <w:szCs w:val="32"/>
          <w:shd w:val="clear" w:color="auto" w:fill="FFFFFF"/>
        </w:rPr>
        <w:t>6%</w:t>
      </w:r>
      <w:r>
        <w:rPr>
          <w:rFonts w:ascii="Times New Roman" w:eastAsia="仿宋_GB2312" w:hAnsi="Times New Roman" w:hint="eastAsia"/>
          <w:color w:val="333333"/>
          <w:kern w:val="0"/>
          <w:sz w:val="32"/>
          <w:szCs w:val="32"/>
          <w:shd w:val="clear" w:color="auto" w:fill="FFFFFF"/>
        </w:rPr>
        <w:t>的投机持仓（以下简称盈利</w:t>
      </w:r>
      <w:r>
        <w:rPr>
          <w:rFonts w:ascii="Times New Roman" w:eastAsia="仿宋_GB2312" w:hAnsi="Times New Roman"/>
          <w:color w:val="333333"/>
          <w:kern w:val="0"/>
          <w:sz w:val="32"/>
          <w:szCs w:val="32"/>
          <w:shd w:val="clear" w:color="auto" w:fill="FFFFFF"/>
        </w:rPr>
        <w:t>3%</w:t>
      </w:r>
      <w:r>
        <w:rPr>
          <w:rFonts w:ascii="Times New Roman" w:eastAsia="仿宋_GB2312" w:hAnsi="Times New Roman" w:hint="eastAsia"/>
          <w:color w:val="333333"/>
          <w:kern w:val="0"/>
          <w:sz w:val="32"/>
          <w:szCs w:val="32"/>
          <w:shd w:val="clear" w:color="auto" w:fill="FFFFFF"/>
        </w:rPr>
        <w:t>以上的投机持仓）</w:t>
      </w:r>
      <w:r>
        <w:rPr>
          <w:rFonts w:ascii="Times New Roman" w:eastAsia="仿宋_GB2312" w:hAnsi="Times New Roman"/>
          <w:color w:val="333333"/>
          <w:kern w:val="0"/>
          <w:sz w:val="32"/>
          <w:szCs w:val="32"/>
          <w:shd w:val="clear" w:color="auto" w:fill="FFFFFF"/>
        </w:rPr>
        <w:t>;</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再次分配给单位净持仓盈利</w:t>
      </w:r>
      <w:proofErr w:type="gramStart"/>
      <w:r>
        <w:rPr>
          <w:rFonts w:ascii="Times New Roman" w:eastAsia="仿宋_GB2312" w:hAnsi="Times New Roman" w:hint="eastAsia"/>
          <w:color w:val="333333"/>
          <w:kern w:val="0"/>
          <w:sz w:val="32"/>
          <w:szCs w:val="32"/>
          <w:shd w:val="clear" w:color="auto" w:fill="FFFFFF"/>
        </w:rPr>
        <w:t>小于第</w:t>
      </w:r>
      <w:proofErr w:type="gramEnd"/>
      <w:r>
        <w:rPr>
          <w:rFonts w:ascii="Times New Roman" w:eastAsia="仿宋_GB2312" w:hAnsi="Times New Roman"/>
          <w:color w:val="333333"/>
          <w:kern w:val="0"/>
          <w:sz w:val="32"/>
          <w:szCs w:val="32"/>
          <w:shd w:val="clear" w:color="auto" w:fill="FFFFFF"/>
        </w:rPr>
        <w:t>N+2</w:t>
      </w:r>
      <w:r>
        <w:rPr>
          <w:rFonts w:ascii="Times New Roman" w:eastAsia="仿宋_GB2312" w:hAnsi="Times New Roman" w:hint="eastAsia"/>
          <w:color w:val="333333"/>
          <w:kern w:val="0"/>
          <w:sz w:val="32"/>
          <w:szCs w:val="32"/>
          <w:shd w:val="clear" w:color="auto" w:fill="FFFFFF"/>
        </w:rPr>
        <w:t>个交易日结算价的</w:t>
      </w:r>
      <w:r>
        <w:rPr>
          <w:rFonts w:ascii="Times New Roman" w:eastAsia="仿宋_GB2312" w:hAnsi="Times New Roman"/>
          <w:color w:val="333333"/>
          <w:kern w:val="0"/>
          <w:sz w:val="32"/>
          <w:szCs w:val="32"/>
          <w:shd w:val="clear" w:color="auto" w:fill="FFFFFF"/>
        </w:rPr>
        <w:t>3%</w:t>
      </w:r>
      <w:r>
        <w:rPr>
          <w:rFonts w:ascii="Times New Roman" w:eastAsia="仿宋_GB2312" w:hAnsi="Times New Roman" w:hint="eastAsia"/>
          <w:color w:val="333333"/>
          <w:kern w:val="0"/>
          <w:sz w:val="32"/>
          <w:szCs w:val="32"/>
          <w:shd w:val="clear" w:color="auto" w:fill="FFFFFF"/>
        </w:rPr>
        <w:t>而大于零的投机持仓（以下简称盈利大于零的投机持仓）</w:t>
      </w:r>
      <w:r>
        <w:rPr>
          <w:rFonts w:ascii="Times New Roman" w:eastAsia="仿宋_GB2312" w:hAnsi="Times New Roman"/>
          <w:color w:val="333333"/>
          <w:kern w:val="0"/>
          <w:sz w:val="32"/>
          <w:szCs w:val="32"/>
          <w:shd w:val="clear" w:color="auto" w:fill="FFFFFF"/>
        </w:rPr>
        <w:t>;</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最后分配给单位净持仓盈利大于或等于第</w:t>
      </w:r>
      <w:r>
        <w:rPr>
          <w:rFonts w:ascii="Times New Roman" w:eastAsia="仿宋_GB2312" w:hAnsi="Times New Roman"/>
          <w:color w:val="333333"/>
          <w:kern w:val="0"/>
          <w:sz w:val="32"/>
          <w:szCs w:val="32"/>
          <w:shd w:val="clear" w:color="auto" w:fill="FFFFFF"/>
        </w:rPr>
        <w:t>N+2</w:t>
      </w:r>
      <w:r>
        <w:rPr>
          <w:rFonts w:ascii="Times New Roman" w:eastAsia="仿宋_GB2312" w:hAnsi="Times New Roman" w:hint="eastAsia"/>
          <w:color w:val="333333"/>
          <w:kern w:val="0"/>
          <w:sz w:val="32"/>
          <w:szCs w:val="32"/>
          <w:shd w:val="clear" w:color="auto" w:fill="FFFFFF"/>
        </w:rPr>
        <w:t>个交易日结算价的</w:t>
      </w:r>
      <w:r>
        <w:rPr>
          <w:rFonts w:ascii="Times New Roman" w:eastAsia="仿宋_GB2312" w:hAnsi="Times New Roman"/>
          <w:color w:val="333333"/>
          <w:kern w:val="0"/>
          <w:sz w:val="32"/>
          <w:szCs w:val="32"/>
          <w:shd w:val="clear" w:color="auto" w:fill="FFFFFF"/>
        </w:rPr>
        <w:t>7%</w:t>
      </w:r>
      <w:r>
        <w:rPr>
          <w:rFonts w:ascii="Times New Roman" w:eastAsia="仿宋_GB2312" w:hAnsi="Times New Roman" w:hint="eastAsia"/>
          <w:color w:val="333333"/>
          <w:kern w:val="0"/>
          <w:sz w:val="32"/>
          <w:szCs w:val="32"/>
          <w:shd w:val="clear" w:color="auto" w:fill="FFFFFF"/>
        </w:rPr>
        <w:t>的保值持仓（以下简称盈利</w:t>
      </w:r>
      <w:r>
        <w:rPr>
          <w:rFonts w:ascii="Times New Roman" w:eastAsia="仿宋_GB2312" w:hAnsi="Times New Roman"/>
          <w:color w:val="333333"/>
          <w:kern w:val="0"/>
          <w:sz w:val="32"/>
          <w:szCs w:val="32"/>
          <w:shd w:val="clear" w:color="auto" w:fill="FFFFFF"/>
        </w:rPr>
        <w:t>7%</w:t>
      </w:r>
      <w:r>
        <w:rPr>
          <w:rFonts w:ascii="Times New Roman" w:eastAsia="仿宋_GB2312" w:hAnsi="Times New Roman" w:hint="eastAsia"/>
          <w:color w:val="333333"/>
          <w:kern w:val="0"/>
          <w:sz w:val="32"/>
          <w:szCs w:val="32"/>
          <w:shd w:val="clear" w:color="auto" w:fill="FFFFFF"/>
        </w:rPr>
        <w:t>保值持仓）。</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w:t>
      </w:r>
      <w:r>
        <w:rPr>
          <w:rFonts w:ascii="Times New Roman" w:eastAsia="仿宋_GB2312" w:hAnsi="Times New Roman"/>
          <w:color w:val="333333"/>
          <w:kern w:val="0"/>
          <w:sz w:val="32"/>
          <w:szCs w:val="32"/>
          <w:shd w:val="clear" w:color="auto" w:fill="FFFFFF"/>
        </w:rPr>
        <w:t>2</w:t>
      </w:r>
      <w:r>
        <w:rPr>
          <w:rFonts w:ascii="Times New Roman" w:eastAsia="仿宋_GB2312" w:hAnsi="Times New Roman" w:hint="eastAsia"/>
          <w:color w:val="333333"/>
          <w:kern w:val="0"/>
          <w:sz w:val="32"/>
          <w:szCs w:val="32"/>
          <w:shd w:val="clear" w:color="auto" w:fill="FFFFFF"/>
        </w:rPr>
        <w:t>）以上各级分配比例均按申报平仓数量</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剩余申报平仓数量</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与各级可平仓的盈利持仓数量之比进行分配。</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w:t>
      </w:r>
      <w:r>
        <w:rPr>
          <w:rFonts w:ascii="Times New Roman" w:eastAsia="仿宋_GB2312" w:hAnsi="Times New Roman"/>
          <w:color w:val="333333"/>
          <w:kern w:val="0"/>
          <w:sz w:val="32"/>
          <w:szCs w:val="32"/>
          <w:shd w:val="clear" w:color="auto" w:fill="FFFFFF"/>
        </w:rPr>
        <w:t xml:space="preserve">2. </w:t>
      </w:r>
      <w:r>
        <w:rPr>
          <w:rFonts w:ascii="Times New Roman" w:eastAsia="仿宋_GB2312" w:hAnsi="Times New Roman" w:hint="eastAsia"/>
          <w:color w:val="333333"/>
          <w:kern w:val="0"/>
          <w:sz w:val="32"/>
          <w:szCs w:val="32"/>
          <w:shd w:val="clear" w:color="auto" w:fill="FFFFFF"/>
        </w:rPr>
        <w:t>平仓数量的分配方法及步骤</w:t>
      </w:r>
      <w:r>
        <w:rPr>
          <w:rFonts w:ascii="Times New Roman" w:eastAsia="仿宋_GB2312" w:hAnsi="Times New Roman"/>
          <w:color w:val="333333"/>
          <w:kern w:val="0"/>
          <w:sz w:val="32"/>
          <w:szCs w:val="32"/>
          <w:shd w:val="clear" w:color="auto" w:fill="FFFFFF"/>
        </w:rPr>
        <w:t>:</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lastRenderedPageBreak/>
        <w:t xml:space="preserve">　　若单位净持仓盈利</w:t>
      </w:r>
      <w:r>
        <w:rPr>
          <w:rFonts w:ascii="Times New Roman" w:eastAsia="仿宋_GB2312" w:hAnsi="Times New Roman"/>
          <w:color w:val="333333"/>
          <w:kern w:val="0"/>
          <w:sz w:val="32"/>
          <w:szCs w:val="32"/>
          <w:shd w:val="clear" w:color="auto" w:fill="FFFFFF"/>
        </w:rPr>
        <w:t>6%</w:t>
      </w:r>
      <w:r>
        <w:rPr>
          <w:rFonts w:ascii="Times New Roman" w:eastAsia="仿宋_GB2312" w:hAnsi="Times New Roman" w:hint="eastAsia"/>
          <w:color w:val="333333"/>
          <w:kern w:val="0"/>
          <w:sz w:val="32"/>
          <w:szCs w:val="32"/>
          <w:shd w:val="clear" w:color="auto" w:fill="FFFFFF"/>
        </w:rPr>
        <w:t>以上的投机持仓数量大于或等于申报平仓数量</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则根据申报平仓数量与单位净持仓盈利</w:t>
      </w:r>
      <w:r>
        <w:rPr>
          <w:rFonts w:ascii="Times New Roman" w:eastAsia="仿宋_GB2312" w:hAnsi="Times New Roman"/>
          <w:color w:val="333333"/>
          <w:kern w:val="0"/>
          <w:sz w:val="32"/>
          <w:szCs w:val="32"/>
          <w:shd w:val="clear" w:color="auto" w:fill="FFFFFF"/>
        </w:rPr>
        <w:t>6%</w:t>
      </w:r>
      <w:r>
        <w:rPr>
          <w:rFonts w:ascii="Times New Roman" w:eastAsia="仿宋_GB2312" w:hAnsi="Times New Roman" w:hint="eastAsia"/>
          <w:color w:val="333333"/>
          <w:kern w:val="0"/>
          <w:sz w:val="32"/>
          <w:szCs w:val="32"/>
          <w:shd w:val="clear" w:color="auto" w:fill="FFFFFF"/>
        </w:rPr>
        <w:t>以上的投机持仓数量的比例</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将申报平仓数量向单位净持仓盈利</w:t>
      </w:r>
      <w:r>
        <w:rPr>
          <w:rFonts w:ascii="Times New Roman" w:eastAsia="仿宋_GB2312" w:hAnsi="Times New Roman"/>
          <w:color w:val="333333"/>
          <w:kern w:val="0"/>
          <w:sz w:val="32"/>
          <w:szCs w:val="32"/>
          <w:shd w:val="clear" w:color="auto" w:fill="FFFFFF"/>
        </w:rPr>
        <w:t>6%</w:t>
      </w:r>
      <w:r>
        <w:rPr>
          <w:rFonts w:ascii="Times New Roman" w:eastAsia="仿宋_GB2312" w:hAnsi="Times New Roman" w:hint="eastAsia"/>
          <w:color w:val="333333"/>
          <w:kern w:val="0"/>
          <w:sz w:val="32"/>
          <w:szCs w:val="32"/>
          <w:shd w:val="clear" w:color="auto" w:fill="FFFFFF"/>
        </w:rPr>
        <w:t>以上的投机持仓分配</w:t>
      </w:r>
      <w:proofErr w:type="gramStart"/>
      <w:r>
        <w:rPr>
          <w:rFonts w:ascii="Times New Roman" w:eastAsia="仿宋_GB2312" w:hAnsi="Times New Roman" w:hint="eastAsia"/>
          <w:color w:val="333333"/>
          <w:kern w:val="0"/>
          <w:sz w:val="32"/>
          <w:szCs w:val="32"/>
          <w:shd w:val="clear" w:color="auto" w:fill="FFFFFF"/>
        </w:rPr>
        <w:t>实际平仓</w:t>
      </w:r>
      <w:proofErr w:type="gramEnd"/>
      <w:r>
        <w:rPr>
          <w:rFonts w:ascii="Times New Roman" w:eastAsia="仿宋_GB2312" w:hAnsi="Times New Roman" w:hint="eastAsia"/>
          <w:color w:val="333333"/>
          <w:kern w:val="0"/>
          <w:sz w:val="32"/>
          <w:szCs w:val="32"/>
          <w:shd w:val="clear" w:color="auto" w:fill="FFFFFF"/>
        </w:rPr>
        <w:t>数量</w:t>
      </w:r>
      <w:r>
        <w:rPr>
          <w:rFonts w:ascii="Times New Roman" w:eastAsia="仿宋_GB2312" w:hAnsi="Times New Roman"/>
          <w:color w:val="333333"/>
          <w:kern w:val="0"/>
          <w:sz w:val="32"/>
          <w:szCs w:val="32"/>
          <w:shd w:val="clear" w:color="auto" w:fill="FFFFFF"/>
        </w:rPr>
        <w:t>;</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若单位净持仓盈利</w:t>
      </w:r>
      <w:r>
        <w:rPr>
          <w:rFonts w:ascii="Times New Roman" w:eastAsia="仿宋_GB2312" w:hAnsi="Times New Roman"/>
          <w:color w:val="333333"/>
          <w:kern w:val="0"/>
          <w:sz w:val="32"/>
          <w:szCs w:val="32"/>
          <w:shd w:val="clear" w:color="auto" w:fill="FFFFFF"/>
        </w:rPr>
        <w:t>6%</w:t>
      </w:r>
      <w:r>
        <w:rPr>
          <w:rFonts w:ascii="Times New Roman" w:eastAsia="仿宋_GB2312" w:hAnsi="Times New Roman" w:hint="eastAsia"/>
          <w:color w:val="333333"/>
          <w:kern w:val="0"/>
          <w:sz w:val="32"/>
          <w:szCs w:val="32"/>
          <w:shd w:val="clear" w:color="auto" w:fill="FFFFFF"/>
        </w:rPr>
        <w:t>以上的投机持仓数量小于申报平仓数量</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则根据单位净持仓盈利</w:t>
      </w:r>
      <w:r>
        <w:rPr>
          <w:rFonts w:ascii="Times New Roman" w:eastAsia="仿宋_GB2312" w:hAnsi="Times New Roman"/>
          <w:color w:val="333333"/>
          <w:kern w:val="0"/>
          <w:sz w:val="32"/>
          <w:szCs w:val="32"/>
          <w:shd w:val="clear" w:color="auto" w:fill="FFFFFF"/>
        </w:rPr>
        <w:t>6%</w:t>
      </w:r>
      <w:r>
        <w:rPr>
          <w:rFonts w:ascii="Times New Roman" w:eastAsia="仿宋_GB2312" w:hAnsi="Times New Roman" w:hint="eastAsia"/>
          <w:color w:val="333333"/>
          <w:kern w:val="0"/>
          <w:sz w:val="32"/>
          <w:szCs w:val="32"/>
          <w:shd w:val="clear" w:color="auto" w:fill="FFFFFF"/>
        </w:rPr>
        <w:t>以上的投机持仓数量与申报平仓数量的比例，将单位净持仓盈利</w:t>
      </w:r>
      <w:r>
        <w:rPr>
          <w:rFonts w:ascii="Times New Roman" w:eastAsia="仿宋_GB2312" w:hAnsi="Times New Roman"/>
          <w:color w:val="333333"/>
          <w:kern w:val="0"/>
          <w:sz w:val="32"/>
          <w:szCs w:val="32"/>
          <w:shd w:val="clear" w:color="auto" w:fill="FFFFFF"/>
        </w:rPr>
        <w:t>6%</w:t>
      </w:r>
      <w:r>
        <w:rPr>
          <w:rFonts w:ascii="Times New Roman" w:eastAsia="仿宋_GB2312" w:hAnsi="Times New Roman" w:hint="eastAsia"/>
          <w:color w:val="333333"/>
          <w:kern w:val="0"/>
          <w:sz w:val="32"/>
          <w:szCs w:val="32"/>
          <w:shd w:val="clear" w:color="auto" w:fill="FFFFFF"/>
        </w:rPr>
        <w:t>以上的投机持仓数量向申报平仓客户分配</w:t>
      </w:r>
      <w:proofErr w:type="gramStart"/>
      <w:r>
        <w:rPr>
          <w:rFonts w:ascii="Times New Roman" w:eastAsia="仿宋_GB2312" w:hAnsi="Times New Roman" w:hint="eastAsia"/>
          <w:color w:val="333333"/>
          <w:kern w:val="0"/>
          <w:sz w:val="32"/>
          <w:szCs w:val="32"/>
          <w:shd w:val="clear" w:color="auto" w:fill="FFFFFF"/>
        </w:rPr>
        <w:t>实际平仓</w:t>
      </w:r>
      <w:proofErr w:type="gramEnd"/>
      <w:r>
        <w:rPr>
          <w:rFonts w:ascii="Times New Roman" w:eastAsia="仿宋_GB2312" w:hAnsi="Times New Roman" w:hint="eastAsia"/>
          <w:color w:val="333333"/>
          <w:kern w:val="0"/>
          <w:sz w:val="32"/>
          <w:szCs w:val="32"/>
          <w:shd w:val="clear" w:color="auto" w:fill="FFFFFF"/>
        </w:rPr>
        <w:t>数量。再把剩余的申报平仓数量按上述的分配方法向单位净持仓盈利</w:t>
      </w:r>
      <w:r>
        <w:rPr>
          <w:rFonts w:ascii="Times New Roman" w:eastAsia="仿宋_GB2312" w:hAnsi="Times New Roman"/>
          <w:color w:val="333333"/>
          <w:kern w:val="0"/>
          <w:sz w:val="32"/>
          <w:szCs w:val="32"/>
          <w:shd w:val="clear" w:color="auto" w:fill="FFFFFF"/>
        </w:rPr>
        <w:t>3%</w:t>
      </w:r>
      <w:r>
        <w:rPr>
          <w:rFonts w:ascii="Times New Roman" w:eastAsia="仿宋_GB2312" w:hAnsi="Times New Roman" w:hint="eastAsia"/>
          <w:color w:val="333333"/>
          <w:kern w:val="0"/>
          <w:sz w:val="32"/>
          <w:szCs w:val="32"/>
          <w:shd w:val="clear" w:color="auto" w:fill="FFFFFF"/>
        </w:rPr>
        <w:t>以上的投机持仓分配</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若还有剩余</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则再向单位净持仓盈利大于零的投机持仓分配</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若还有剩余</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则再向单位净持仓盈利</w:t>
      </w:r>
      <w:r>
        <w:rPr>
          <w:rFonts w:ascii="Times New Roman" w:eastAsia="仿宋_GB2312" w:hAnsi="Times New Roman"/>
          <w:color w:val="333333"/>
          <w:kern w:val="0"/>
          <w:sz w:val="32"/>
          <w:szCs w:val="32"/>
          <w:shd w:val="clear" w:color="auto" w:fill="FFFFFF"/>
        </w:rPr>
        <w:t>7%</w:t>
      </w:r>
      <w:r>
        <w:rPr>
          <w:rFonts w:ascii="Times New Roman" w:eastAsia="仿宋_GB2312" w:hAnsi="Times New Roman" w:hint="eastAsia"/>
          <w:color w:val="333333"/>
          <w:kern w:val="0"/>
          <w:sz w:val="32"/>
          <w:szCs w:val="32"/>
          <w:shd w:val="clear" w:color="auto" w:fill="FFFFFF"/>
        </w:rPr>
        <w:t>的保值持仓分配。若还有剩余则</w:t>
      </w:r>
      <w:proofErr w:type="gramStart"/>
      <w:r>
        <w:rPr>
          <w:rFonts w:ascii="Times New Roman" w:eastAsia="仿宋_GB2312" w:hAnsi="Times New Roman" w:hint="eastAsia"/>
          <w:color w:val="333333"/>
          <w:kern w:val="0"/>
          <w:sz w:val="32"/>
          <w:szCs w:val="32"/>
          <w:shd w:val="clear" w:color="auto" w:fill="FFFFFF"/>
        </w:rPr>
        <w:t>不</w:t>
      </w:r>
      <w:proofErr w:type="gramEnd"/>
      <w:r>
        <w:rPr>
          <w:rFonts w:ascii="Times New Roman" w:eastAsia="仿宋_GB2312" w:hAnsi="Times New Roman" w:hint="eastAsia"/>
          <w:color w:val="333333"/>
          <w:kern w:val="0"/>
          <w:sz w:val="32"/>
          <w:szCs w:val="32"/>
          <w:shd w:val="clear" w:color="auto" w:fill="FFFFFF"/>
        </w:rPr>
        <w:t>再分配。</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分配平</w:t>
      </w:r>
      <w:proofErr w:type="gramStart"/>
      <w:r>
        <w:rPr>
          <w:rFonts w:ascii="Times New Roman" w:eastAsia="仿宋_GB2312" w:hAnsi="Times New Roman" w:hint="eastAsia"/>
          <w:color w:val="333333"/>
          <w:kern w:val="0"/>
          <w:sz w:val="32"/>
          <w:szCs w:val="32"/>
          <w:shd w:val="clear" w:color="auto" w:fill="FFFFFF"/>
        </w:rPr>
        <w:t>仓数量</w:t>
      </w:r>
      <w:proofErr w:type="gramEnd"/>
      <w:r>
        <w:rPr>
          <w:rFonts w:ascii="Times New Roman" w:eastAsia="仿宋_GB2312" w:hAnsi="Times New Roman" w:hint="eastAsia"/>
          <w:color w:val="333333"/>
          <w:kern w:val="0"/>
          <w:sz w:val="32"/>
          <w:szCs w:val="32"/>
          <w:shd w:val="clear" w:color="auto" w:fill="FFFFFF"/>
        </w:rPr>
        <w:t>以</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手</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为单位</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不足一手的按如下方法计算：首先对每个交易编码所分配到的平仓数量的整数部分进行分配，然后按小数部分由大到小的顺序</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进位取整</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进行分配。</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（五）强制减仓的执行</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强制减仓于第</w:t>
      </w:r>
      <w:r>
        <w:rPr>
          <w:rFonts w:ascii="Times New Roman" w:eastAsia="仿宋_GB2312" w:hAnsi="Times New Roman"/>
          <w:color w:val="333333"/>
          <w:kern w:val="0"/>
          <w:sz w:val="32"/>
          <w:szCs w:val="32"/>
          <w:shd w:val="clear" w:color="auto" w:fill="FFFFFF"/>
        </w:rPr>
        <w:t>N +2</w:t>
      </w:r>
      <w:r>
        <w:rPr>
          <w:rFonts w:ascii="Times New Roman" w:eastAsia="仿宋_GB2312" w:hAnsi="Times New Roman" w:hint="eastAsia"/>
          <w:color w:val="333333"/>
          <w:kern w:val="0"/>
          <w:sz w:val="32"/>
          <w:szCs w:val="32"/>
          <w:shd w:val="clear" w:color="auto" w:fill="FFFFFF"/>
        </w:rPr>
        <w:t>个交易日收市后由交易系统按强制减</w:t>
      </w:r>
      <w:proofErr w:type="gramStart"/>
      <w:r>
        <w:rPr>
          <w:rFonts w:ascii="Times New Roman" w:eastAsia="仿宋_GB2312" w:hAnsi="Times New Roman" w:hint="eastAsia"/>
          <w:color w:val="333333"/>
          <w:kern w:val="0"/>
          <w:sz w:val="32"/>
          <w:szCs w:val="32"/>
          <w:shd w:val="clear" w:color="auto" w:fill="FFFFFF"/>
        </w:rPr>
        <w:t>仓原则</w:t>
      </w:r>
      <w:proofErr w:type="gramEnd"/>
      <w:r>
        <w:rPr>
          <w:rFonts w:ascii="Times New Roman" w:eastAsia="仿宋_GB2312" w:hAnsi="Times New Roman" w:hint="eastAsia"/>
          <w:color w:val="333333"/>
          <w:kern w:val="0"/>
          <w:sz w:val="32"/>
          <w:szCs w:val="32"/>
          <w:shd w:val="clear" w:color="auto" w:fill="FFFFFF"/>
        </w:rPr>
        <w:t>自动执行，强制减</w:t>
      </w:r>
      <w:proofErr w:type="gramStart"/>
      <w:r>
        <w:rPr>
          <w:rFonts w:ascii="Times New Roman" w:eastAsia="仿宋_GB2312" w:hAnsi="Times New Roman" w:hint="eastAsia"/>
          <w:color w:val="333333"/>
          <w:kern w:val="0"/>
          <w:sz w:val="32"/>
          <w:szCs w:val="32"/>
          <w:shd w:val="clear" w:color="auto" w:fill="FFFFFF"/>
        </w:rPr>
        <w:t>仓结果</w:t>
      </w:r>
      <w:proofErr w:type="gramEnd"/>
      <w:r>
        <w:rPr>
          <w:rFonts w:ascii="Times New Roman" w:eastAsia="仿宋_GB2312" w:hAnsi="Times New Roman" w:hint="eastAsia"/>
          <w:color w:val="333333"/>
          <w:kern w:val="0"/>
          <w:sz w:val="32"/>
          <w:szCs w:val="32"/>
          <w:shd w:val="clear" w:color="auto" w:fill="FFFFFF"/>
        </w:rPr>
        <w:t>作为第</w:t>
      </w:r>
      <w:r>
        <w:rPr>
          <w:rFonts w:ascii="Times New Roman" w:eastAsia="仿宋_GB2312" w:hAnsi="Times New Roman"/>
          <w:color w:val="333333"/>
          <w:kern w:val="0"/>
          <w:sz w:val="32"/>
          <w:szCs w:val="32"/>
          <w:shd w:val="clear" w:color="auto" w:fill="FFFFFF"/>
        </w:rPr>
        <w:t>N +2</w:t>
      </w:r>
      <w:r>
        <w:rPr>
          <w:rFonts w:ascii="Times New Roman" w:eastAsia="仿宋_GB2312" w:hAnsi="Times New Roman" w:hint="eastAsia"/>
          <w:color w:val="333333"/>
          <w:kern w:val="0"/>
          <w:sz w:val="32"/>
          <w:szCs w:val="32"/>
          <w:shd w:val="clear" w:color="auto" w:fill="FFFFFF"/>
        </w:rPr>
        <w:t>个交易日会员的交易结果。</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（六）强制减仓的价格</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强制减仓的价格为该</w:t>
      </w:r>
      <w:proofErr w:type="gramStart"/>
      <w:r>
        <w:rPr>
          <w:rFonts w:ascii="Times New Roman" w:eastAsia="仿宋_GB2312" w:hAnsi="Times New Roman" w:hint="eastAsia"/>
          <w:color w:val="333333"/>
          <w:kern w:val="0"/>
          <w:sz w:val="32"/>
          <w:szCs w:val="32"/>
          <w:shd w:val="clear" w:color="auto" w:fill="FFFFFF"/>
        </w:rPr>
        <w:t>合约第</w:t>
      </w:r>
      <w:proofErr w:type="gramEnd"/>
      <w:r>
        <w:rPr>
          <w:rFonts w:ascii="Times New Roman" w:eastAsia="仿宋_GB2312" w:hAnsi="Times New Roman"/>
          <w:color w:val="333333"/>
          <w:kern w:val="0"/>
          <w:sz w:val="32"/>
          <w:szCs w:val="32"/>
          <w:shd w:val="clear" w:color="auto" w:fill="FFFFFF"/>
        </w:rPr>
        <w:t>N +2</w:t>
      </w:r>
      <w:r>
        <w:rPr>
          <w:rFonts w:ascii="Times New Roman" w:eastAsia="仿宋_GB2312" w:hAnsi="Times New Roman" w:hint="eastAsia"/>
          <w:color w:val="333333"/>
          <w:kern w:val="0"/>
          <w:sz w:val="32"/>
          <w:szCs w:val="32"/>
          <w:shd w:val="clear" w:color="auto" w:fill="FFFFFF"/>
        </w:rPr>
        <w:t>个交易日的涨</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跌</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停板价。</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lastRenderedPageBreak/>
        <w:t xml:space="preserve">　　（七）由上述减</w:t>
      </w:r>
      <w:proofErr w:type="gramStart"/>
      <w:r>
        <w:rPr>
          <w:rFonts w:ascii="Times New Roman" w:eastAsia="仿宋_GB2312" w:hAnsi="Times New Roman" w:hint="eastAsia"/>
          <w:color w:val="333333"/>
          <w:kern w:val="0"/>
          <w:sz w:val="32"/>
          <w:szCs w:val="32"/>
          <w:shd w:val="clear" w:color="auto" w:fill="FFFFFF"/>
        </w:rPr>
        <w:t>仓造成</w:t>
      </w:r>
      <w:proofErr w:type="gramEnd"/>
      <w:r>
        <w:rPr>
          <w:rFonts w:ascii="Times New Roman" w:eastAsia="仿宋_GB2312" w:hAnsi="Times New Roman" w:hint="eastAsia"/>
          <w:color w:val="333333"/>
          <w:kern w:val="0"/>
          <w:sz w:val="32"/>
          <w:szCs w:val="32"/>
          <w:shd w:val="clear" w:color="auto" w:fill="FFFFFF"/>
        </w:rPr>
        <w:t>的经济损失由会员、境外经纪机构及客户承担。</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第二十四条该合约在采取上述措施后</w:t>
      </w:r>
      <w:proofErr w:type="gramStart"/>
      <w:r>
        <w:rPr>
          <w:rFonts w:ascii="Times New Roman" w:eastAsia="仿宋_GB2312" w:hAnsi="Times New Roman" w:hint="eastAsia"/>
          <w:color w:val="333333"/>
          <w:kern w:val="0"/>
          <w:sz w:val="32"/>
          <w:szCs w:val="32"/>
          <w:shd w:val="clear" w:color="auto" w:fill="FFFFFF"/>
        </w:rPr>
        <w:t>若风险</w:t>
      </w:r>
      <w:proofErr w:type="gramEnd"/>
      <w:r>
        <w:rPr>
          <w:rFonts w:ascii="Times New Roman" w:eastAsia="仿宋_GB2312" w:hAnsi="Times New Roman" w:hint="eastAsia"/>
          <w:color w:val="333333"/>
          <w:kern w:val="0"/>
          <w:sz w:val="32"/>
          <w:szCs w:val="32"/>
          <w:shd w:val="clear" w:color="auto" w:fill="FFFFFF"/>
        </w:rPr>
        <w:t>仍未释放，则交易所宣布为异常情况，并按有关规定采取风险控制措施。</w:t>
      </w:r>
    </w:p>
    <w:p w:rsidR="00104D85" w:rsidRDefault="00104D85" w:rsidP="00104D85">
      <w:pPr>
        <w:widowControl/>
        <w:shd w:val="clear" w:color="auto" w:fill="FFFFFF"/>
        <w:jc w:val="center"/>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第四章</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限仓制度</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第二十五条交易所实行限仓制度。限仓是指交易所规定会员或客户可以持有的，按单边计算的某一合约投机头寸的最大数额。具有实际控制关系的客户和非期货公司会员的持仓合并计算。</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第二十六条限仓实行以下基本制度：</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（一）根据不同期货品种的具体情况，分别确定每一品种每一月份期货合约的限仓数额；</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（二）某一月份期货合约在其交易过程中的不同阶段，分别适用不同的限仓数额，进入交割月份的期货合约限仓数额从严控制；</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（三）套期保值、套利持仓根据《大连商品交易所套期保值管理办法》、《大连商品交易所套利交易管理办法》等有关规定进行管理；</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（四）做市商持仓根据《大连商品交易所做市商管理办法》等有关规定进行管理。</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lastRenderedPageBreak/>
        <w:t xml:space="preserve">　　第二十七条同一客户在不同期货公司会员处开有多个交易编码，各交易编码上所有持</w:t>
      </w:r>
      <w:proofErr w:type="gramStart"/>
      <w:r>
        <w:rPr>
          <w:rFonts w:ascii="Times New Roman" w:eastAsia="仿宋_GB2312" w:hAnsi="Times New Roman" w:hint="eastAsia"/>
          <w:color w:val="333333"/>
          <w:kern w:val="0"/>
          <w:sz w:val="32"/>
          <w:szCs w:val="32"/>
          <w:shd w:val="clear" w:color="auto" w:fill="FFFFFF"/>
        </w:rPr>
        <w:t>仓头</w:t>
      </w:r>
      <w:proofErr w:type="gramEnd"/>
      <w:r>
        <w:rPr>
          <w:rFonts w:ascii="Times New Roman" w:eastAsia="仿宋_GB2312" w:hAnsi="Times New Roman" w:hint="eastAsia"/>
          <w:color w:val="333333"/>
          <w:kern w:val="0"/>
          <w:sz w:val="32"/>
          <w:szCs w:val="32"/>
          <w:shd w:val="clear" w:color="auto" w:fill="FFFFFF"/>
        </w:rPr>
        <w:t>寸的合计数，不得超出一个客户的限仓数额。</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第二十八条</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非期货公司会员和客户采取如下限仓要求：</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鸡蛋、乙二醇以外品种期货合约上市交易的一般月份（合约上市至交割月份前一个月第十四个交易日）期间，当该合约的单边持仓量大于一定数量时，非期货公司会员和客户按单边持仓量的一定比例确定限仓数额；在该合约的单边持仓量小于等于该数量时，非期货公司会员和客户该合约限仓数额以绝对</w:t>
      </w:r>
      <w:proofErr w:type="gramStart"/>
      <w:r>
        <w:rPr>
          <w:rFonts w:ascii="Times New Roman" w:eastAsia="仿宋_GB2312" w:hAnsi="Times New Roman" w:hint="eastAsia"/>
          <w:color w:val="333333"/>
          <w:kern w:val="0"/>
          <w:sz w:val="32"/>
          <w:szCs w:val="32"/>
          <w:shd w:val="clear" w:color="auto" w:fill="FFFFFF"/>
        </w:rPr>
        <w:t>量方式</w:t>
      </w:r>
      <w:proofErr w:type="gramEnd"/>
      <w:r>
        <w:rPr>
          <w:rFonts w:ascii="Times New Roman" w:eastAsia="仿宋_GB2312" w:hAnsi="Times New Roman" w:hint="eastAsia"/>
          <w:color w:val="333333"/>
          <w:kern w:val="0"/>
          <w:sz w:val="32"/>
          <w:szCs w:val="32"/>
          <w:shd w:val="clear" w:color="auto" w:fill="FFFFFF"/>
        </w:rPr>
        <w:t>规定。在期货合约进入交割月份前一个月第十五个交易日至交割月期间，非期货公司会员和客户限仓数额以绝对</w:t>
      </w:r>
      <w:proofErr w:type="gramStart"/>
      <w:r>
        <w:rPr>
          <w:rFonts w:ascii="Times New Roman" w:eastAsia="仿宋_GB2312" w:hAnsi="Times New Roman" w:hint="eastAsia"/>
          <w:color w:val="333333"/>
          <w:kern w:val="0"/>
          <w:sz w:val="32"/>
          <w:szCs w:val="32"/>
          <w:shd w:val="clear" w:color="auto" w:fill="FFFFFF"/>
        </w:rPr>
        <w:t>量方式</w:t>
      </w:r>
      <w:proofErr w:type="gramEnd"/>
      <w:r>
        <w:rPr>
          <w:rFonts w:ascii="Times New Roman" w:eastAsia="仿宋_GB2312" w:hAnsi="Times New Roman" w:hint="eastAsia"/>
          <w:color w:val="333333"/>
          <w:kern w:val="0"/>
          <w:sz w:val="32"/>
          <w:szCs w:val="32"/>
          <w:shd w:val="clear" w:color="auto" w:fill="FFFFFF"/>
        </w:rPr>
        <w:t>规定。鸡蛋品种非期货公司会员和客户的限仓数额以绝对</w:t>
      </w:r>
      <w:proofErr w:type="gramStart"/>
      <w:r>
        <w:rPr>
          <w:rFonts w:ascii="Times New Roman" w:eastAsia="仿宋_GB2312" w:hAnsi="Times New Roman" w:hint="eastAsia"/>
          <w:color w:val="333333"/>
          <w:kern w:val="0"/>
          <w:sz w:val="32"/>
          <w:szCs w:val="32"/>
          <w:shd w:val="clear" w:color="auto" w:fill="FFFFFF"/>
        </w:rPr>
        <w:t>量方式</w:t>
      </w:r>
      <w:proofErr w:type="gramEnd"/>
      <w:r>
        <w:rPr>
          <w:rFonts w:ascii="Times New Roman" w:eastAsia="仿宋_GB2312" w:hAnsi="Times New Roman" w:hint="eastAsia"/>
          <w:color w:val="333333"/>
          <w:kern w:val="0"/>
          <w:sz w:val="32"/>
          <w:szCs w:val="32"/>
          <w:shd w:val="clear" w:color="auto" w:fill="FFFFFF"/>
        </w:rPr>
        <w:t>规定。乙二醇品种非期货公司会员和客户的限仓数额，在合约上市至交割月前一个月最后一个交易日期间根据合约的单边持仓量规定；交割月期间以绝对</w:t>
      </w:r>
      <w:proofErr w:type="gramStart"/>
      <w:r>
        <w:rPr>
          <w:rFonts w:ascii="Times New Roman" w:eastAsia="仿宋_GB2312" w:hAnsi="Times New Roman" w:hint="eastAsia"/>
          <w:color w:val="333333"/>
          <w:kern w:val="0"/>
          <w:sz w:val="32"/>
          <w:szCs w:val="32"/>
          <w:shd w:val="clear" w:color="auto" w:fill="FFFFFF"/>
        </w:rPr>
        <w:t>量方式</w:t>
      </w:r>
      <w:proofErr w:type="gramEnd"/>
      <w:r>
        <w:rPr>
          <w:rFonts w:ascii="Times New Roman" w:eastAsia="仿宋_GB2312" w:hAnsi="Times New Roman" w:hint="eastAsia"/>
          <w:color w:val="333333"/>
          <w:kern w:val="0"/>
          <w:sz w:val="32"/>
          <w:szCs w:val="32"/>
          <w:shd w:val="clear" w:color="auto" w:fill="FFFFFF"/>
        </w:rPr>
        <w:t>规定。</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合约在某一交易时间段的限仓数额自该交易时间段</w:t>
      </w:r>
      <w:proofErr w:type="gramStart"/>
      <w:r>
        <w:rPr>
          <w:rFonts w:ascii="Times New Roman" w:eastAsia="仿宋_GB2312" w:hAnsi="Times New Roman" w:hint="eastAsia"/>
          <w:color w:val="333333"/>
          <w:kern w:val="0"/>
          <w:sz w:val="32"/>
          <w:szCs w:val="32"/>
          <w:shd w:val="clear" w:color="auto" w:fill="FFFFFF"/>
        </w:rPr>
        <w:t>起始日前</w:t>
      </w:r>
      <w:proofErr w:type="gramEnd"/>
      <w:r>
        <w:rPr>
          <w:rFonts w:ascii="Times New Roman" w:eastAsia="仿宋_GB2312" w:hAnsi="Times New Roman" w:hint="eastAsia"/>
          <w:color w:val="333333"/>
          <w:kern w:val="0"/>
          <w:sz w:val="32"/>
          <w:szCs w:val="32"/>
          <w:shd w:val="clear" w:color="auto" w:fill="FFFFFF"/>
        </w:rPr>
        <w:t>一交易日结算时起执行。依据合约单边持仓量确定某日某合约的限仓数额时，该单边持仓量取该日前一交易日结算时的持仓量。</w:t>
      </w:r>
    </w:p>
    <w:p w:rsidR="00104D85" w:rsidRDefault="00104D85" w:rsidP="00104D85">
      <w:pPr>
        <w:widowControl/>
        <w:shd w:val="clear" w:color="auto" w:fill="FFFFFF"/>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第二十九条</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各品种期货合约持仓限额如下：</w:t>
      </w:r>
    </w:p>
    <w:p w:rsidR="00104D85" w:rsidRDefault="00104D85" w:rsidP="00104D85">
      <w:pPr>
        <w:widowControl/>
        <w:shd w:val="clear" w:color="auto" w:fill="FFFFFF"/>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（一）除鸡蛋、乙二醇以外的品种</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lastRenderedPageBreak/>
        <w:t xml:space="preserve">　　</w:t>
      </w:r>
      <w:r>
        <w:rPr>
          <w:rFonts w:ascii="Times New Roman" w:eastAsia="仿宋_GB2312" w:hAnsi="Times New Roman"/>
          <w:color w:val="333333"/>
          <w:kern w:val="0"/>
          <w:sz w:val="32"/>
          <w:szCs w:val="32"/>
          <w:shd w:val="clear" w:color="auto" w:fill="FFFFFF"/>
        </w:rPr>
        <w:t>1.</w:t>
      </w:r>
      <w:r>
        <w:rPr>
          <w:rFonts w:ascii="Times New Roman" w:eastAsia="仿宋_GB2312" w:hAnsi="Times New Roman" w:hint="eastAsia"/>
          <w:color w:val="333333"/>
          <w:kern w:val="0"/>
          <w:sz w:val="32"/>
          <w:szCs w:val="32"/>
          <w:shd w:val="clear" w:color="auto" w:fill="FFFFFF"/>
        </w:rPr>
        <w:t>除鸡蛋、乙二醇品种外，各品种期货合约一般月份（合约上市至交割月份前一个月第十四个交易日）非期货公司会员和客户持仓限额见下表：（单位：手）</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306"/>
        <w:gridCol w:w="2475"/>
        <w:gridCol w:w="1959"/>
        <w:gridCol w:w="1959"/>
      </w:tblGrid>
      <w:tr w:rsidR="00104D85" w:rsidTr="00104D8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品种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合约单边持仓量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非期货公司会员</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客户</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黄大豆</w:t>
            </w:r>
            <w:r>
              <w:rPr>
                <w:rFonts w:ascii="Times New Roman" w:eastAsia="仿宋_GB2312" w:hAnsi="Times New Roman"/>
                <w:color w:val="333333"/>
                <w:kern w:val="0"/>
                <w:sz w:val="32"/>
                <w:szCs w:val="32"/>
              </w:rPr>
              <w:t>1</w:t>
            </w:r>
            <w:r>
              <w:rPr>
                <w:rFonts w:ascii="Times New Roman" w:eastAsia="仿宋_GB2312" w:hAnsi="Times New Roman" w:hint="eastAsia"/>
                <w:color w:val="333333"/>
                <w:kern w:val="0"/>
                <w:sz w:val="32"/>
                <w:szCs w:val="32"/>
              </w:rPr>
              <w:t>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≤150,000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30,000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15,000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150,000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黄大豆</w:t>
            </w:r>
            <w:r>
              <w:rPr>
                <w:rFonts w:ascii="Times New Roman" w:eastAsia="仿宋_GB2312" w:hAnsi="Times New Roman"/>
                <w:color w:val="333333"/>
                <w:kern w:val="0"/>
                <w:sz w:val="32"/>
                <w:szCs w:val="32"/>
              </w:rPr>
              <w:t>2</w:t>
            </w:r>
            <w:r>
              <w:rPr>
                <w:rFonts w:ascii="Times New Roman" w:eastAsia="仿宋_GB2312" w:hAnsi="Times New Roman" w:hint="eastAsia"/>
                <w:color w:val="333333"/>
                <w:kern w:val="0"/>
                <w:sz w:val="32"/>
                <w:szCs w:val="32"/>
              </w:rPr>
              <w:t>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豆</w:t>
            </w:r>
            <w:proofErr w:type="gramStart"/>
            <w:r>
              <w:rPr>
                <w:rFonts w:ascii="Times New Roman" w:eastAsia="仿宋_GB2312" w:hAnsi="Times New Roman" w:hint="eastAsia"/>
                <w:color w:val="333333"/>
                <w:kern w:val="0"/>
                <w:sz w:val="32"/>
                <w:szCs w:val="32"/>
              </w:rPr>
              <w:t>粕</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≤400,000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40,000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400,000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玉米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≤400,000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40,000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400,000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豆油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棕榈油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10,000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线型低密度聚乙烯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10,000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聚氯乙烯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焦炭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≤50,000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5,000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50,000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焦煤</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8,000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铁矿石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≤400,000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40,000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400,000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纤维板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≤300,000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30,000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30,000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300,000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胶合板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≤60,000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6,000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60,000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聚丙烯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玉米淀粉</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≤150,000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15,000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150,000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粳米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苯乙烯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12,000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液化石油气</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8,000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单边持仓量</w:t>
            </w:r>
            <w:r>
              <w:rPr>
                <w:rFonts w:ascii="Times New Roman" w:eastAsia="仿宋_GB2312" w:hAnsi="Times New Roman"/>
                <w:color w:val="333333"/>
                <w:kern w:val="0"/>
                <w:sz w:val="32"/>
                <w:szCs w:val="32"/>
              </w:rPr>
              <w:t>×10%</w:t>
            </w:r>
          </w:p>
        </w:tc>
      </w:tr>
    </w:tbl>
    <w:p w:rsidR="00104D85" w:rsidRDefault="00104D85" w:rsidP="00104D85">
      <w:pPr>
        <w:widowControl/>
        <w:shd w:val="clear" w:color="auto" w:fill="FFFFFF"/>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w:t>
      </w:r>
      <w:r>
        <w:rPr>
          <w:rFonts w:ascii="Times New Roman" w:eastAsia="仿宋_GB2312" w:hAnsi="Times New Roman"/>
          <w:color w:val="333333"/>
          <w:kern w:val="0"/>
          <w:sz w:val="32"/>
          <w:szCs w:val="32"/>
          <w:shd w:val="clear" w:color="auto" w:fill="FFFFFF"/>
        </w:rPr>
        <w:t>2.</w:t>
      </w:r>
      <w:r>
        <w:rPr>
          <w:rFonts w:ascii="Times New Roman" w:eastAsia="仿宋_GB2312" w:hAnsi="Times New Roman" w:hint="eastAsia"/>
          <w:color w:val="333333"/>
          <w:kern w:val="0"/>
          <w:sz w:val="32"/>
          <w:szCs w:val="32"/>
          <w:shd w:val="clear" w:color="auto" w:fill="FFFFFF"/>
        </w:rPr>
        <w:t>除鸡蛋、乙二醇品种外，各品种期货合约自交割月份前一个月第十五个交易日至交割月期间非期货公司会员和客户持</w:t>
      </w:r>
      <w:r>
        <w:rPr>
          <w:rFonts w:ascii="Times New Roman" w:eastAsia="仿宋_GB2312" w:hAnsi="Times New Roman" w:hint="eastAsia"/>
          <w:color w:val="333333"/>
          <w:kern w:val="0"/>
          <w:sz w:val="32"/>
          <w:szCs w:val="32"/>
          <w:shd w:val="clear" w:color="auto" w:fill="FFFFFF"/>
        </w:rPr>
        <w:lastRenderedPageBreak/>
        <w:t>仓限额见下表，交割月份个人客户持仓限额为</w:t>
      </w:r>
      <w:r>
        <w:rPr>
          <w:rFonts w:ascii="Times New Roman" w:eastAsia="仿宋_GB2312" w:hAnsi="Times New Roman"/>
          <w:color w:val="333333"/>
          <w:kern w:val="0"/>
          <w:sz w:val="32"/>
          <w:szCs w:val="32"/>
          <w:shd w:val="clear" w:color="auto" w:fill="FFFFFF"/>
        </w:rPr>
        <w:t>0</w:t>
      </w:r>
      <w:r>
        <w:rPr>
          <w:rFonts w:ascii="Times New Roman" w:eastAsia="仿宋_GB2312" w:hAnsi="Times New Roman" w:hint="eastAsia"/>
          <w:color w:val="333333"/>
          <w:kern w:val="0"/>
          <w:sz w:val="32"/>
          <w:szCs w:val="32"/>
          <w:shd w:val="clear" w:color="auto" w:fill="FFFFFF"/>
        </w:rPr>
        <w:t>：（单位：手）</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321"/>
        <w:gridCol w:w="3578"/>
        <w:gridCol w:w="1890"/>
        <w:gridCol w:w="910"/>
      </w:tblGrid>
      <w:tr w:rsidR="00104D85" w:rsidTr="00104D8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品种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时间段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非期货公司会员</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客户</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黄大豆</w:t>
            </w:r>
            <w:r>
              <w:rPr>
                <w:rFonts w:ascii="Times New Roman" w:eastAsia="仿宋_GB2312" w:hAnsi="Times New Roman"/>
                <w:color w:val="333333"/>
                <w:kern w:val="0"/>
                <w:sz w:val="32"/>
                <w:szCs w:val="32"/>
              </w:rPr>
              <w:t>1</w:t>
            </w:r>
            <w:r>
              <w:rPr>
                <w:rFonts w:ascii="Times New Roman" w:eastAsia="仿宋_GB2312" w:hAnsi="Times New Roman" w:hint="eastAsia"/>
                <w:color w:val="333333"/>
                <w:kern w:val="0"/>
                <w:sz w:val="32"/>
                <w:szCs w:val="32"/>
              </w:rPr>
              <w:t>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2,500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1,000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黄大豆</w:t>
            </w:r>
            <w:r>
              <w:rPr>
                <w:rFonts w:ascii="Times New Roman" w:eastAsia="仿宋_GB2312" w:hAnsi="Times New Roman"/>
                <w:color w:val="333333"/>
                <w:kern w:val="0"/>
                <w:sz w:val="32"/>
                <w:szCs w:val="32"/>
              </w:rPr>
              <w:t>2</w:t>
            </w:r>
            <w:r>
              <w:rPr>
                <w:rFonts w:ascii="Times New Roman" w:eastAsia="仿宋_GB2312" w:hAnsi="Times New Roman" w:hint="eastAsia"/>
                <w:color w:val="333333"/>
                <w:kern w:val="0"/>
                <w:sz w:val="32"/>
                <w:szCs w:val="32"/>
              </w:rPr>
              <w:t>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4,500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4,500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1,500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豆</w:t>
            </w:r>
            <w:proofErr w:type="gramStart"/>
            <w:r>
              <w:rPr>
                <w:rFonts w:ascii="Times New Roman" w:eastAsia="仿宋_GB2312" w:hAnsi="Times New Roman" w:hint="eastAsia"/>
                <w:color w:val="333333"/>
                <w:kern w:val="0"/>
                <w:sz w:val="32"/>
                <w:szCs w:val="32"/>
              </w:rPr>
              <w:t>粕</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7,500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2,500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豆油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3,000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1,000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棕榈油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1,500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500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lastRenderedPageBreak/>
              <w:t>玉米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30,000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15,000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5,000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线型低密度聚乙烯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3,000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1,000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聚氯乙烯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5,000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2,500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焦炭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900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300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焦煤</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1,500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500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铁矿石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6,000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2,000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纤维板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800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胶合板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80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聚丙烯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5,000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2,500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玉米淀粉</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4,500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4,500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1,500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粳米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1,000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苯乙烯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1,000</w:t>
            </w:r>
          </w:p>
        </w:tc>
      </w:tr>
      <w:tr w:rsidR="00104D85" w:rsidTr="00104D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液化石油气</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1,000</w:t>
            </w:r>
          </w:p>
        </w:tc>
      </w:tr>
      <w:tr w:rsidR="00104D85" w:rsidTr="00104D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500</w:t>
            </w:r>
          </w:p>
        </w:tc>
      </w:tr>
    </w:tbl>
    <w:p w:rsidR="00104D85" w:rsidRDefault="00104D85" w:rsidP="00104D85">
      <w:pPr>
        <w:widowControl/>
        <w:shd w:val="clear" w:color="auto" w:fill="FFFFFF"/>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（二）鸡蛋品种</w:t>
      </w:r>
    </w:p>
    <w:p w:rsidR="00104D85" w:rsidRDefault="00104D85" w:rsidP="00104D85">
      <w:pPr>
        <w:widowControl/>
        <w:shd w:val="clear" w:color="auto" w:fill="FFFFFF"/>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lastRenderedPageBreak/>
        <w:t xml:space="preserve">　　鸡蛋期货合约非期货公司会员和客户持仓限额见下表，交割月份个人客户持仓限额为</w:t>
      </w:r>
      <w:r>
        <w:rPr>
          <w:rFonts w:ascii="Times New Roman" w:eastAsia="仿宋_GB2312" w:hAnsi="Times New Roman"/>
          <w:color w:val="333333"/>
          <w:kern w:val="0"/>
          <w:sz w:val="32"/>
          <w:szCs w:val="32"/>
          <w:shd w:val="clear" w:color="auto" w:fill="FFFFFF"/>
        </w:rPr>
        <w:t>0</w:t>
      </w:r>
      <w:r>
        <w:rPr>
          <w:rFonts w:ascii="Times New Roman" w:eastAsia="仿宋_GB2312" w:hAnsi="Times New Roman" w:hint="eastAsia"/>
          <w:color w:val="333333"/>
          <w:kern w:val="0"/>
          <w:sz w:val="32"/>
          <w:szCs w:val="32"/>
          <w:shd w:val="clear" w:color="auto" w:fill="FFFFFF"/>
        </w:rPr>
        <w:t>：（单位：手）</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4510"/>
        <w:gridCol w:w="2270"/>
        <w:gridCol w:w="750"/>
      </w:tblGrid>
      <w:tr w:rsidR="00104D85" w:rsidTr="00104D8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交易时间段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非期货公司会员</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客户</w:t>
            </w:r>
          </w:p>
        </w:tc>
      </w:tr>
      <w:tr w:rsidR="00104D85" w:rsidTr="00104D8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合约上市起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1,200</w:t>
            </w:r>
          </w:p>
        </w:tc>
      </w:tr>
      <w:tr w:rsidR="00104D85" w:rsidTr="00104D8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交割月前一个月第一个交易日起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400</w:t>
            </w:r>
          </w:p>
        </w:tc>
      </w:tr>
      <w:tr w:rsidR="00104D85" w:rsidTr="00104D8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交割月前一个月第十个交易日起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120</w:t>
            </w:r>
          </w:p>
        </w:tc>
      </w:tr>
      <w:tr w:rsidR="00104D85" w:rsidTr="00104D8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w:t>
            </w:r>
          </w:p>
        </w:tc>
      </w:tr>
    </w:tbl>
    <w:p w:rsidR="00104D85" w:rsidRDefault="00104D85" w:rsidP="00104D85">
      <w:pPr>
        <w:widowControl/>
        <w:shd w:val="clear" w:color="auto" w:fill="FFFFFF"/>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（三）乙二醇品种</w:t>
      </w:r>
    </w:p>
    <w:p w:rsidR="00104D85" w:rsidRDefault="00104D85" w:rsidP="00104D85">
      <w:pPr>
        <w:widowControl/>
        <w:shd w:val="clear" w:color="auto" w:fill="FFFFFF"/>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乙二醇期货合约非期货公司会员和客户持仓限额见下表，交割月份个人客户持仓限额为</w:t>
      </w:r>
      <w:r>
        <w:rPr>
          <w:rFonts w:ascii="Times New Roman" w:eastAsia="仿宋_GB2312" w:hAnsi="Times New Roman"/>
          <w:color w:val="333333"/>
          <w:kern w:val="0"/>
          <w:sz w:val="32"/>
          <w:szCs w:val="32"/>
          <w:shd w:val="clear" w:color="auto" w:fill="FFFFFF"/>
        </w:rPr>
        <w:t>0</w:t>
      </w:r>
      <w:r>
        <w:rPr>
          <w:rFonts w:ascii="Times New Roman" w:eastAsia="仿宋_GB2312" w:hAnsi="Times New Roman" w:hint="eastAsia"/>
          <w:color w:val="333333"/>
          <w:kern w:val="0"/>
          <w:sz w:val="32"/>
          <w:szCs w:val="32"/>
          <w:shd w:val="clear" w:color="auto" w:fill="FFFFFF"/>
        </w:rPr>
        <w:t>：（单位：手）</w:t>
      </w:r>
    </w:p>
    <w:tbl>
      <w:tblPr>
        <w:tblW w:w="699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609"/>
        <w:gridCol w:w="762"/>
        <w:gridCol w:w="1066"/>
        <w:gridCol w:w="850"/>
        <w:gridCol w:w="478"/>
        <w:gridCol w:w="855"/>
        <w:gridCol w:w="1050"/>
        <w:gridCol w:w="850"/>
        <w:gridCol w:w="470"/>
      </w:tblGrid>
      <w:tr w:rsidR="00104D85" w:rsidTr="00104D85">
        <w:trPr>
          <w:trHeight w:val="201"/>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t>品种</w:t>
            </w:r>
          </w:p>
        </w:tc>
        <w:tc>
          <w:tcPr>
            <w:tcW w:w="3120" w:type="dxa"/>
            <w:gridSpan w:val="4"/>
            <w:tcBorders>
              <w:top w:val="single" w:sz="4" w:space="0" w:color="auto"/>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t>一般规定</w:t>
            </w:r>
          </w:p>
        </w:tc>
        <w:tc>
          <w:tcPr>
            <w:tcW w:w="3210" w:type="dxa"/>
            <w:gridSpan w:val="4"/>
            <w:tcBorders>
              <w:top w:val="single" w:sz="4" w:space="0" w:color="auto"/>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t>特别规定</w:t>
            </w:r>
          </w:p>
        </w:tc>
      </w:tr>
      <w:tr w:rsidR="00104D85" w:rsidTr="00104D85">
        <w:trPr>
          <w:trHeight w:val="4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840" w:type="dxa"/>
            <w:tcBorders>
              <w:top w:val="nil"/>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t>时间段</w:t>
            </w:r>
          </w:p>
        </w:tc>
        <w:tc>
          <w:tcPr>
            <w:tcW w:w="950" w:type="dxa"/>
            <w:tcBorders>
              <w:top w:val="nil"/>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t>合约单边</w:t>
            </w:r>
          </w:p>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t>持仓量</w:t>
            </w:r>
          </w:p>
        </w:tc>
        <w:tc>
          <w:tcPr>
            <w:tcW w:w="850" w:type="dxa"/>
            <w:tcBorders>
              <w:top w:val="nil"/>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t>非期货公司</w:t>
            </w:r>
          </w:p>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t>会员</w:t>
            </w:r>
          </w:p>
        </w:tc>
        <w:tc>
          <w:tcPr>
            <w:tcW w:w="470" w:type="dxa"/>
            <w:tcBorders>
              <w:top w:val="nil"/>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t>客户</w:t>
            </w:r>
          </w:p>
        </w:tc>
        <w:tc>
          <w:tcPr>
            <w:tcW w:w="950" w:type="dxa"/>
            <w:tcBorders>
              <w:top w:val="nil"/>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t>时间段</w:t>
            </w:r>
          </w:p>
        </w:tc>
        <w:tc>
          <w:tcPr>
            <w:tcW w:w="940" w:type="dxa"/>
            <w:tcBorders>
              <w:top w:val="nil"/>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color w:val="000000"/>
                <w:kern w:val="0"/>
                <w:sz w:val="32"/>
                <w:szCs w:val="32"/>
              </w:rPr>
              <w:t> </w:t>
            </w:r>
            <w:r>
              <w:rPr>
                <w:rFonts w:ascii="Times New Roman" w:eastAsia="仿宋_GB2312" w:hAnsi="Times New Roman" w:hint="eastAsia"/>
                <w:color w:val="000000"/>
                <w:kern w:val="0"/>
                <w:sz w:val="32"/>
                <w:szCs w:val="32"/>
              </w:rPr>
              <w:t>合约单边</w:t>
            </w:r>
          </w:p>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t>持仓量</w:t>
            </w:r>
          </w:p>
        </w:tc>
        <w:tc>
          <w:tcPr>
            <w:tcW w:w="850" w:type="dxa"/>
            <w:tcBorders>
              <w:top w:val="nil"/>
              <w:left w:val="nil"/>
              <w:bottom w:val="single" w:sz="4" w:space="0" w:color="auto"/>
              <w:right w:val="single" w:sz="4" w:space="0" w:color="auto"/>
            </w:tcBorders>
            <w:shd w:val="clear" w:color="auto" w:fill="FFFFFF"/>
            <w:noWrap/>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t>非期货公司</w:t>
            </w:r>
          </w:p>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t>会员</w:t>
            </w:r>
          </w:p>
        </w:tc>
        <w:tc>
          <w:tcPr>
            <w:tcW w:w="470" w:type="dxa"/>
            <w:tcBorders>
              <w:top w:val="nil"/>
              <w:left w:val="nil"/>
              <w:bottom w:val="single" w:sz="4" w:space="0" w:color="auto"/>
              <w:right w:val="single" w:sz="4" w:space="0" w:color="auto"/>
            </w:tcBorders>
            <w:shd w:val="clear" w:color="auto" w:fill="FFFFFF"/>
            <w:noWrap/>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t>客户</w:t>
            </w:r>
          </w:p>
        </w:tc>
      </w:tr>
      <w:tr w:rsidR="00104D85" w:rsidTr="00104D85">
        <w:trPr>
          <w:trHeight w:val="990"/>
          <w:jc w:val="center"/>
        </w:trPr>
        <w:tc>
          <w:tcPr>
            <w:tcW w:w="660" w:type="dxa"/>
            <w:vMerge w:val="restart"/>
            <w:tcBorders>
              <w:top w:val="nil"/>
              <w:left w:val="single" w:sz="4" w:space="0" w:color="auto"/>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t>乙二醇</w:t>
            </w:r>
          </w:p>
        </w:tc>
        <w:tc>
          <w:tcPr>
            <w:tcW w:w="840" w:type="dxa"/>
            <w:vMerge w:val="restart"/>
            <w:tcBorders>
              <w:top w:val="nil"/>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t>合约上市至交</w:t>
            </w:r>
            <w:r>
              <w:rPr>
                <w:rFonts w:ascii="Times New Roman" w:eastAsia="仿宋_GB2312" w:hAnsi="Times New Roman" w:hint="eastAsia"/>
                <w:color w:val="000000"/>
                <w:kern w:val="0"/>
                <w:sz w:val="32"/>
                <w:szCs w:val="32"/>
              </w:rPr>
              <w:lastRenderedPageBreak/>
              <w:t>割月份前一个月第十四个交易日</w:t>
            </w:r>
          </w:p>
        </w:tc>
        <w:tc>
          <w:tcPr>
            <w:tcW w:w="950" w:type="dxa"/>
            <w:tcBorders>
              <w:top w:val="nil"/>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lastRenderedPageBreak/>
              <w:t>单边持仓量</w:t>
            </w:r>
            <w:r>
              <w:rPr>
                <w:rFonts w:ascii="Times New Roman" w:eastAsia="仿宋_GB2312" w:hAnsi="Times New Roman"/>
                <w:color w:val="000000"/>
                <w:kern w:val="0"/>
                <w:sz w:val="32"/>
                <w:szCs w:val="32"/>
              </w:rPr>
              <w:t>≤80,000</w:t>
            </w:r>
          </w:p>
        </w:tc>
        <w:tc>
          <w:tcPr>
            <w:tcW w:w="1320" w:type="dxa"/>
            <w:gridSpan w:val="2"/>
            <w:tcBorders>
              <w:top w:val="nil"/>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color w:val="000000"/>
                <w:kern w:val="0"/>
                <w:sz w:val="32"/>
                <w:szCs w:val="32"/>
              </w:rPr>
              <w:t>8,000</w:t>
            </w:r>
          </w:p>
        </w:tc>
        <w:tc>
          <w:tcPr>
            <w:tcW w:w="950" w:type="dxa"/>
            <w:vMerge w:val="restart"/>
            <w:tcBorders>
              <w:top w:val="nil"/>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t>交割月份前一</w:t>
            </w:r>
            <w:r>
              <w:rPr>
                <w:rFonts w:ascii="Times New Roman" w:eastAsia="仿宋_GB2312" w:hAnsi="Times New Roman" w:hint="eastAsia"/>
                <w:color w:val="000000"/>
                <w:kern w:val="0"/>
                <w:sz w:val="32"/>
                <w:szCs w:val="32"/>
              </w:rPr>
              <w:lastRenderedPageBreak/>
              <w:t>个月第一个交易日至该月第十四个交易日</w:t>
            </w:r>
          </w:p>
        </w:tc>
        <w:tc>
          <w:tcPr>
            <w:tcW w:w="940" w:type="dxa"/>
            <w:vMerge w:val="restart"/>
            <w:tcBorders>
              <w:top w:val="nil"/>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lastRenderedPageBreak/>
              <w:t>单边持仓量＞</w:t>
            </w:r>
            <w:r>
              <w:rPr>
                <w:rFonts w:ascii="Times New Roman" w:eastAsia="仿宋_GB2312" w:hAnsi="Times New Roman"/>
                <w:color w:val="000000"/>
                <w:kern w:val="0"/>
                <w:sz w:val="32"/>
                <w:szCs w:val="32"/>
              </w:rPr>
              <w:t>120,000</w:t>
            </w:r>
          </w:p>
        </w:tc>
        <w:tc>
          <w:tcPr>
            <w:tcW w:w="1320" w:type="dxa"/>
            <w:gridSpan w:val="2"/>
            <w:vMerge w:val="restart"/>
            <w:tcBorders>
              <w:top w:val="nil"/>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color w:val="000000"/>
                <w:kern w:val="0"/>
                <w:sz w:val="32"/>
                <w:szCs w:val="32"/>
              </w:rPr>
              <w:t>3000</w:t>
            </w:r>
            <w:r>
              <w:rPr>
                <w:rFonts w:ascii="Times New Roman" w:eastAsia="仿宋_GB2312" w:hAnsi="Times New Roman" w:hint="eastAsia"/>
                <w:color w:val="000000"/>
                <w:kern w:val="0"/>
                <w:sz w:val="32"/>
                <w:szCs w:val="32"/>
              </w:rPr>
              <w:t>（维持该标准，直至</w:t>
            </w:r>
            <w:r>
              <w:rPr>
                <w:rFonts w:ascii="Times New Roman" w:eastAsia="仿宋_GB2312" w:hAnsi="Times New Roman" w:hint="eastAsia"/>
                <w:color w:val="000000"/>
                <w:kern w:val="0"/>
                <w:sz w:val="32"/>
                <w:szCs w:val="32"/>
              </w:rPr>
              <w:lastRenderedPageBreak/>
              <w:t>该月第十四个交易日）</w:t>
            </w:r>
          </w:p>
        </w:tc>
      </w:tr>
      <w:tr w:rsidR="00104D85" w:rsidTr="00104D85">
        <w:trPr>
          <w:trHeight w:val="400"/>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vMerge/>
            <w:tcBorders>
              <w:top w:val="nil"/>
              <w:left w:val="nil"/>
              <w:bottom w:val="single" w:sz="4" w:space="0" w:color="auto"/>
              <w:right w:val="single" w:sz="4"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950" w:type="dxa"/>
            <w:tcBorders>
              <w:top w:val="nil"/>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t>单边持仓量＞</w:t>
            </w:r>
            <w:r>
              <w:rPr>
                <w:rFonts w:ascii="Times New Roman" w:eastAsia="仿宋_GB2312" w:hAnsi="Times New Roman"/>
                <w:color w:val="000000"/>
                <w:kern w:val="0"/>
                <w:sz w:val="32"/>
                <w:szCs w:val="32"/>
              </w:rPr>
              <w:t>80,000</w:t>
            </w:r>
          </w:p>
        </w:tc>
        <w:tc>
          <w:tcPr>
            <w:tcW w:w="1320" w:type="dxa"/>
            <w:gridSpan w:val="2"/>
            <w:tcBorders>
              <w:top w:val="nil"/>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t>单边持仓量</w:t>
            </w:r>
            <w:r>
              <w:rPr>
                <w:rFonts w:ascii="Times New Roman" w:eastAsia="仿宋_GB2312" w:hAnsi="Times New Roman"/>
                <w:color w:val="000000"/>
                <w:kern w:val="0"/>
                <w:sz w:val="32"/>
                <w:szCs w:val="32"/>
              </w:rPr>
              <w:t>×10%</w:t>
            </w:r>
          </w:p>
        </w:tc>
        <w:tc>
          <w:tcPr>
            <w:tcW w:w="0" w:type="auto"/>
            <w:vMerge/>
            <w:tcBorders>
              <w:top w:val="nil"/>
              <w:left w:val="nil"/>
              <w:bottom w:val="single" w:sz="4" w:space="0" w:color="auto"/>
              <w:right w:val="single" w:sz="4"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vMerge/>
            <w:tcBorders>
              <w:top w:val="nil"/>
              <w:left w:val="nil"/>
              <w:bottom w:val="single" w:sz="4" w:space="0" w:color="auto"/>
              <w:right w:val="single" w:sz="4"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0" w:type="auto"/>
            <w:gridSpan w:val="2"/>
            <w:vMerge/>
            <w:tcBorders>
              <w:top w:val="nil"/>
              <w:left w:val="nil"/>
              <w:bottom w:val="single" w:sz="4" w:space="0" w:color="auto"/>
              <w:right w:val="single" w:sz="4"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r>
      <w:tr w:rsidR="00104D85" w:rsidTr="00104D85">
        <w:trPr>
          <w:trHeight w:val="1461"/>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840" w:type="dxa"/>
            <w:tcBorders>
              <w:top w:val="nil"/>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t>交割月份前一个月第十五个交易日至该月最后一个</w:t>
            </w:r>
            <w:r>
              <w:rPr>
                <w:rFonts w:ascii="Times New Roman" w:eastAsia="仿宋_GB2312" w:hAnsi="Times New Roman" w:hint="eastAsia"/>
                <w:color w:val="000000"/>
                <w:kern w:val="0"/>
                <w:sz w:val="32"/>
                <w:szCs w:val="32"/>
              </w:rPr>
              <w:lastRenderedPageBreak/>
              <w:t>交易日</w:t>
            </w:r>
          </w:p>
        </w:tc>
        <w:tc>
          <w:tcPr>
            <w:tcW w:w="950" w:type="dxa"/>
            <w:tcBorders>
              <w:top w:val="nil"/>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color w:val="000000"/>
                <w:kern w:val="0"/>
                <w:sz w:val="32"/>
                <w:szCs w:val="32"/>
              </w:rPr>
              <w:lastRenderedPageBreak/>
              <w:t>——</w:t>
            </w:r>
          </w:p>
        </w:tc>
        <w:tc>
          <w:tcPr>
            <w:tcW w:w="1320" w:type="dxa"/>
            <w:gridSpan w:val="2"/>
            <w:tcBorders>
              <w:top w:val="nil"/>
              <w:left w:val="nil"/>
              <w:bottom w:val="single" w:sz="4" w:space="0" w:color="auto"/>
              <w:right w:val="single" w:sz="4" w:space="0" w:color="auto"/>
            </w:tcBorders>
            <w:shd w:val="clear" w:color="auto" w:fill="FFFFFF"/>
            <w:noWrap/>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color w:val="000000"/>
                <w:kern w:val="0"/>
                <w:sz w:val="32"/>
                <w:szCs w:val="32"/>
              </w:rPr>
              <w:t>3000</w:t>
            </w:r>
          </w:p>
        </w:tc>
        <w:tc>
          <w:tcPr>
            <w:tcW w:w="950" w:type="dxa"/>
            <w:tcBorders>
              <w:top w:val="nil"/>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t>交割月份前一个月第十五个交易日至该月最后一个</w:t>
            </w:r>
            <w:r>
              <w:rPr>
                <w:rFonts w:ascii="Times New Roman" w:eastAsia="仿宋_GB2312" w:hAnsi="Times New Roman" w:hint="eastAsia"/>
                <w:color w:val="000000"/>
                <w:kern w:val="0"/>
                <w:sz w:val="32"/>
                <w:szCs w:val="32"/>
              </w:rPr>
              <w:lastRenderedPageBreak/>
              <w:t>交易日</w:t>
            </w:r>
          </w:p>
        </w:tc>
        <w:tc>
          <w:tcPr>
            <w:tcW w:w="940" w:type="dxa"/>
            <w:tcBorders>
              <w:top w:val="nil"/>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lastRenderedPageBreak/>
              <w:t>单边持仓量＞</w:t>
            </w:r>
            <w:r>
              <w:rPr>
                <w:rFonts w:ascii="Times New Roman" w:eastAsia="仿宋_GB2312" w:hAnsi="Times New Roman"/>
                <w:color w:val="000000"/>
                <w:kern w:val="0"/>
                <w:sz w:val="32"/>
                <w:szCs w:val="32"/>
              </w:rPr>
              <w:t>80,000</w:t>
            </w:r>
          </w:p>
        </w:tc>
        <w:tc>
          <w:tcPr>
            <w:tcW w:w="1320" w:type="dxa"/>
            <w:gridSpan w:val="2"/>
            <w:tcBorders>
              <w:top w:val="nil"/>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color w:val="000000"/>
                <w:kern w:val="0"/>
                <w:sz w:val="32"/>
                <w:szCs w:val="32"/>
              </w:rPr>
              <w:t>1000</w:t>
            </w:r>
            <w:r>
              <w:rPr>
                <w:rFonts w:ascii="Times New Roman" w:eastAsia="仿宋_GB2312" w:hAnsi="Times New Roman" w:hint="eastAsia"/>
                <w:color w:val="000000"/>
                <w:kern w:val="0"/>
                <w:sz w:val="32"/>
                <w:szCs w:val="32"/>
              </w:rPr>
              <w:t>（维持该标准，直至该月最后一个交易日）</w:t>
            </w:r>
          </w:p>
        </w:tc>
      </w:tr>
      <w:tr w:rsidR="00104D85" w:rsidTr="00104D85">
        <w:trPr>
          <w:trHeight w:val="201"/>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04D85" w:rsidRDefault="00104D85">
            <w:pPr>
              <w:widowControl/>
              <w:jc w:val="left"/>
              <w:rPr>
                <w:rFonts w:ascii="Times New Roman" w:eastAsia="仿宋_GB2312" w:hAnsi="Times New Roman"/>
                <w:color w:val="333333"/>
                <w:kern w:val="0"/>
                <w:sz w:val="32"/>
                <w:szCs w:val="32"/>
              </w:rPr>
            </w:pPr>
          </w:p>
        </w:tc>
        <w:tc>
          <w:tcPr>
            <w:tcW w:w="840" w:type="dxa"/>
            <w:tcBorders>
              <w:top w:val="nil"/>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hint="eastAsia"/>
                <w:color w:val="000000"/>
                <w:kern w:val="0"/>
                <w:sz w:val="32"/>
                <w:szCs w:val="32"/>
              </w:rPr>
              <w:t>交割月份</w:t>
            </w:r>
          </w:p>
        </w:tc>
        <w:tc>
          <w:tcPr>
            <w:tcW w:w="950" w:type="dxa"/>
            <w:tcBorders>
              <w:top w:val="nil"/>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color w:val="000000"/>
                <w:kern w:val="0"/>
                <w:sz w:val="32"/>
                <w:szCs w:val="32"/>
              </w:rPr>
              <w:t>——</w:t>
            </w:r>
          </w:p>
        </w:tc>
        <w:tc>
          <w:tcPr>
            <w:tcW w:w="1320" w:type="dxa"/>
            <w:gridSpan w:val="2"/>
            <w:tcBorders>
              <w:top w:val="nil"/>
              <w:left w:val="nil"/>
              <w:bottom w:val="single" w:sz="4" w:space="0" w:color="auto"/>
              <w:right w:val="single" w:sz="4" w:space="0" w:color="auto"/>
            </w:tcBorders>
            <w:shd w:val="clear" w:color="auto" w:fill="FFFFFF"/>
            <w:noWrap/>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color w:val="000000"/>
                <w:kern w:val="0"/>
                <w:sz w:val="32"/>
                <w:szCs w:val="32"/>
              </w:rPr>
              <w:t>1000</w:t>
            </w:r>
          </w:p>
        </w:tc>
        <w:tc>
          <w:tcPr>
            <w:tcW w:w="950" w:type="dxa"/>
            <w:tcBorders>
              <w:top w:val="nil"/>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color w:val="000000"/>
                <w:kern w:val="0"/>
                <w:sz w:val="32"/>
                <w:szCs w:val="32"/>
              </w:rPr>
              <w:t>——</w:t>
            </w:r>
          </w:p>
        </w:tc>
        <w:tc>
          <w:tcPr>
            <w:tcW w:w="940" w:type="dxa"/>
            <w:tcBorders>
              <w:top w:val="nil"/>
              <w:left w:val="nil"/>
              <w:bottom w:val="single" w:sz="4" w:space="0" w:color="auto"/>
              <w:right w:val="single" w:sz="4" w:space="0" w:color="auto"/>
            </w:tcBorders>
            <w:shd w:val="clear" w:color="auto" w:fill="FFFFFF"/>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color w:val="000000"/>
                <w:kern w:val="0"/>
                <w:sz w:val="32"/>
                <w:szCs w:val="32"/>
              </w:rPr>
              <w:t>——</w:t>
            </w:r>
          </w:p>
        </w:tc>
        <w:tc>
          <w:tcPr>
            <w:tcW w:w="850" w:type="dxa"/>
            <w:tcBorders>
              <w:top w:val="nil"/>
              <w:left w:val="nil"/>
              <w:bottom w:val="single" w:sz="4" w:space="0" w:color="auto"/>
              <w:right w:val="single" w:sz="4" w:space="0" w:color="auto"/>
            </w:tcBorders>
            <w:shd w:val="clear" w:color="auto" w:fill="FFFFFF"/>
            <w:noWrap/>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color w:val="000000"/>
                <w:kern w:val="0"/>
                <w:sz w:val="32"/>
                <w:szCs w:val="32"/>
              </w:rPr>
              <w:t>——</w:t>
            </w:r>
          </w:p>
        </w:tc>
        <w:tc>
          <w:tcPr>
            <w:tcW w:w="470" w:type="dxa"/>
            <w:tcBorders>
              <w:top w:val="nil"/>
              <w:left w:val="nil"/>
              <w:bottom w:val="single" w:sz="4" w:space="0" w:color="auto"/>
              <w:right w:val="single" w:sz="4" w:space="0" w:color="auto"/>
            </w:tcBorders>
            <w:shd w:val="clear" w:color="auto" w:fill="FFFFFF"/>
            <w:noWrap/>
            <w:vAlign w:val="center"/>
            <w:hideMark/>
          </w:tcPr>
          <w:p w:rsidR="00104D85" w:rsidRDefault="00104D85">
            <w:pPr>
              <w:widowControl/>
              <w:jc w:val="center"/>
              <w:rPr>
                <w:rFonts w:ascii="Times New Roman" w:eastAsia="仿宋_GB2312" w:hAnsi="Times New Roman"/>
                <w:color w:val="333333"/>
                <w:kern w:val="0"/>
                <w:sz w:val="32"/>
                <w:szCs w:val="32"/>
              </w:rPr>
            </w:pPr>
            <w:r>
              <w:rPr>
                <w:rFonts w:ascii="Times New Roman" w:eastAsia="仿宋_GB2312" w:hAnsi="Times New Roman"/>
                <w:color w:val="000000"/>
                <w:kern w:val="0"/>
                <w:sz w:val="32"/>
                <w:szCs w:val="32"/>
              </w:rPr>
              <w:t>——</w:t>
            </w:r>
          </w:p>
        </w:tc>
      </w:tr>
    </w:tbl>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第三十条</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非期货公司会员或客户的持仓数量不得超过交易所规定的持仓限额，超过持仓限额的，不得同方向开仓交易。对超过持仓限额的非期货公司会员或客户，交易所将于下一交易日按有关规定执行强行平仓。</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一个客户在不同期货公司会员处开有多个交易编码，其持仓量合计超出限仓数额的，由交易所指定有关期货公司会员对该客户超额持仓执行强行平仓。</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对超过持仓限额的非期货公司会员或者客户，交易所还可以采取电话提示、要求报告情况、要求提交书面承诺、列入重点监管名单、限制开仓等措施。</w:t>
      </w:r>
    </w:p>
    <w:p w:rsidR="00104D85" w:rsidRDefault="00104D85" w:rsidP="00104D85">
      <w:pPr>
        <w:widowControl/>
        <w:shd w:val="clear" w:color="auto" w:fill="FFFFFF"/>
        <w:jc w:val="center"/>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第五章</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交易限额制度</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三十一条交易所实行交易限额制度。交易限额是指交易所规定会员或者客户对某一合约在某一期限内开仓的最大数量。交易所可以根据市场情况，对不同上市品种、合约，对部分或者全部的会员、客户，制定交易限额，具体标准由交易所另行公布。</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套期保值交易和做市交易的开仓数量不受本条前款限制。</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lastRenderedPageBreak/>
        <w:t xml:space="preserve">　　第三十二条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rsidR="00104D85" w:rsidRDefault="00104D85" w:rsidP="00104D85">
      <w:pPr>
        <w:widowControl/>
        <w:shd w:val="clear" w:color="auto" w:fill="FFFFFF"/>
        <w:jc w:val="center"/>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第六章大户报告制度</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第三十三条交易所实行大户报告制度。当非期货公司会员或客户某品种持仓合约的投机头寸达到交易所对其规定的投机头寸持仓限量</w:t>
      </w:r>
      <w:r>
        <w:rPr>
          <w:rFonts w:ascii="Times New Roman" w:eastAsia="仿宋_GB2312" w:hAnsi="Times New Roman"/>
          <w:color w:val="333333"/>
          <w:kern w:val="0"/>
          <w:sz w:val="32"/>
          <w:szCs w:val="32"/>
          <w:shd w:val="clear" w:color="auto" w:fill="FFFFFF"/>
        </w:rPr>
        <w:t>80%</w:t>
      </w:r>
      <w:r>
        <w:rPr>
          <w:rFonts w:ascii="Times New Roman" w:eastAsia="仿宋_GB2312" w:hAnsi="Times New Roman" w:hint="eastAsia"/>
          <w:color w:val="333333"/>
          <w:kern w:val="0"/>
          <w:sz w:val="32"/>
          <w:szCs w:val="32"/>
          <w:shd w:val="clear" w:color="auto" w:fill="FFFFFF"/>
        </w:rPr>
        <w:t>以上（含本数）时</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非期货公司会员或客户应向交易所报告其资金情况、头寸情况，客户须通过期货公司会员报告；委托境外经纪机构从事期货交易的客户，应当委托其境外经纪机构报告，境外经纪机构再委托期货公司会员报告。</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非期货公司会员、客户应当保证所提供的大户持仓报告和其他材料的真实性、准确性和完整性。</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交易所可根据市场风险状况，调整改变持仓报告水平。</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第三十四条非期货公司会员或客户的持仓达到交易所报告界限的，非期货公司会员或客户应主动于下一交易日</w:t>
      </w:r>
      <w:r>
        <w:rPr>
          <w:rFonts w:ascii="Times New Roman" w:eastAsia="仿宋_GB2312" w:hAnsi="Times New Roman"/>
          <w:color w:val="333333"/>
          <w:kern w:val="0"/>
          <w:sz w:val="32"/>
          <w:szCs w:val="32"/>
          <w:shd w:val="clear" w:color="auto" w:fill="FFFFFF"/>
        </w:rPr>
        <w:t>15:00</w:t>
      </w:r>
      <w:r>
        <w:rPr>
          <w:rFonts w:ascii="Times New Roman" w:eastAsia="仿宋_GB2312" w:hAnsi="Times New Roman" w:hint="eastAsia"/>
          <w:color w:val="333333"/>
          <w:kern w:val="0"/>
          <w:sz w:val="32"/>
          <w:szCs w:val="32"/>
          <w:shd w:val="clear" w:color="auto" w:fill="FFFFFF"/>
        </w:rPr>
        <w:t>时前向交易所报告。如需再次报告或补充报告，交易所将通知有关会员。</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第三十五条达到交易所报告界限的非期货公司会员应向交易所提供下列材料：</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lastRenderedPageBreak/>
        <w:t xml:space="preserve">　　（一）填写完整的《非期货公司会员大户报告表》（见附件</w:t>
      </w:r>
      <w:r>
        <w:rPr>
          <w:rFonts w:ascii="Times New Roman" w:eastAsia="仿宋_GB2312" w:hAnsi="Times New Roman"/>
          <w:color w:val="333333"/>
          <w:kern w:val="0"/>
          <w:sz w:val="32"/>
          <w:szCs w:val="32"/>
          <w:shd w:val="clear" w:color="auto" w:fill="FFFFFF"/>
        </w:rPr>
        <w:t>2</w:t>
      </w:r>
      <w:r>
        <w:rPr>
          <w:rFonts w:ascii="Times New Roman" w:eastAsia="仿宋_GB2312" w:hAnsi="Times New Roman" w:hint="eastAsia"/>
          <w:color w:val="333333"/>
          <w:kern w:val="0"/>
          <w:sz w:val="32"/>
          <w:szCs w:val="32"/>
          <w:shd w:val="clear" w:color="auto" w:fill="FFFFFF"/>
        </w:rPr>
        <w:t>），内容包括会员名称、会员号、合约代码、现有持仓、持仓性质、持仓保证金、可动用资金、持仓意向、预报交割数量、申请交割数量；</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（二）资金来源说明；</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（三）交易所要求提供的其他材料。</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第三十六条达到交易所报告界限的客户应提供下列材料：</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（一）填写完整的《客户大户报告表》（见附件</w:t>
      </w:r>
      <w:r>
        <w:rPr>
          <w:rFonts w:ascii="Times New Roman" w:eastAsia="仿宋_GB2312" w:hAnsi="Times New Roman"/>
          <w:color w:val="333333"/>
          <w:kern w:val="0"/>
          <w:sz w:val="32"/>
          <w:szCs w:val="32"/>
          <w:shd w:val="clear" w:color="auto" w:fill="FFFFFF"/>
        </w:rPr>
        <w:t>3</w:t>
      </w:r>
      <w:r>
        <w:rPr>
          <w:rFonts w:ascii="Times New Roman" w:eastAsia="仿宋_GB2312" w:hAnsi="Times New Roman" w:hint="eastAsia"/>
          <w:color w:val="333333"/>
          <w:kern w:val="0"/>
          <w:sz w:val="32"/>
          <w:szCs w:val="32"/>
          <w:shd w:val="clear" w:color="auto" w:fill="FFFFFF"/>
        </w:rPr>
        <w:t>），内容包括会员名称、会员号、客户名称和编码、合约代码、现有持仓、持仓性质、持仓保证金、可动用资金、持仓意向、预报交割数量、申请交割数量等；</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（二）资金来源说明；</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（三）开户材料及当日结算单据；</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（四）交易所要求提供的其他材料。</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第三十七条期货公司会员、境外经纪机构应对达到交易所报告界限的客户所提供的有关材料进行初审，然后由期货公司会员转交交易所。期货公司会员、境外经纪机构应保证客户所提供的材料的真实性和准确性。</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第三十八条交易所将不定期地对会员、境外经纪机构或客户提供的材料进行核查。</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lastRenderedPageBreak/>
        <w:t xml:space="preserve">　　第三十九条客户在不同期货公司会员处开有多个交易编码，各交易编码持有头寸合计达到报告界限，由交易所指定并通知有关期货公司会员，负责报送该客户应报告情况的有关材料。</w:t>
      </w:r>
    </w:p>
    <w:p w:rsidR="00104D85" w:rsidRDefault="00104D85" w:rsidP="00104D85">
      <w:pPr>
        <w:widowControl/>
        <w:shd w:val="clear" w:color="auto" w:fill="FFFFFF"/>
        <w:jc w:val="center"/>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第七章</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强行平仓制度</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第四十条为控制市场风险，交易所实行强行平仓制度。强行平仓是指当会员、客户违规时，交易所对有关持仓实行平仓的一种强制措施。</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第四十一条当会员、客户出现下列情形之一时，交易所有权对其持仓进行强行平仓：</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（一）会员结算准备金余额小于零，并未能在规定时限内补足的；</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（二）非期货公司会员和客户持仓量超出其限仓规定的；</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（三）因违规受到交易所强行平仓处罚的；</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（四）根据交易所的紧急措施应予强行平仓的；</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（五）其他应予强行平仓的。</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第四十二条强行平仓的执行原则：</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强行平仓先由会员自己执行，除交易所特别规定外，对</w:t>
      </w:r>
      <w:proofErr w:type="gramStart"/>
      <w:r>
        <w:rPr>
          <w:rFonts w:ascii="Times New Roman" w:eastAsia="仿宋_GB2312" w:hAnsi="Times New Roman" w:hint="eastAsia"/>
          <w:color w:val="333333"/>
          <w:kern w:val="0"/>
          <w:sz w:val="32"/>
          <w:szCs w:val="32"/>
          <w:shd w:val="clear" w:color="auto" w:fill="FFFFFF"/>
        </w:rPr>
        <w:t>开设夜盘交易</w:t>
      </w:r>
      <w:proofErr w:type="gramEnd"/>
      <w:r>
        <w:rPr>
          <w:rFonts w:ascii="Times New Roman" w:eastAsia="仿宋_GB2312" w:hAnsi="Times New Roman" w:hint="eastAsia"/>
          <w:color w:val="333333"/>
          <w:kern w:val="0"/>
          <w:sz w:val="32"/>
          <w:szCs w:val="32"/>
          <w:shd w:val="clear" w:color="auto" w:fill="FFFFFF"/>
        </w:rPr>
        <w:t>的品种，其时限</w:t>
      </w:r>
      <w:proofErr w:type="gramStart"/>
      <w:r>
        <w:rPr>
          <w:rFonts w:ascii="Times New Roman" w:eastAsia="仿宋_GB2312" w:hAnsi="Times New Roman" w:hint="eastAsia"/>
          <w:color w:val="333333"/>
          <w:kern w:val="0"/>
          <w:sz w:val="32"/>
          <w:szCs w:val="32"/>
          <w:shd w:val="clear" w:color="auto" w:fill="FFFFFF"/>
        </w:rPr>
        <w:t>为夜盘交易</w:t>
      </w:r>
      <w:proofErr w:type="gramEnd"/>
      <w:r>
        <w:rPr>
          <w:rFonts w:ascii="Times New Roman" w:eastAsia="仿宋_GB2312" w:hAnsi="Times New Roman" w:hint="eastAsia"/>
          <w:color w:val="333333"/>
          <w:kern w:val="0"/>
          <w:sz w:val="32"/>
          <w:szCs w:val="32"/>
          <w:shd w:val="clear" w:color="auto" w:fill="FFFFFF"/>
        </w:rPr>
        <w:t>小节、第一节和第二节交易时间内；对未</w:t>
      </w:r>
      <w:proofErr w:type="gramStart"/>
      <w:r>
        <w:rPr>
          <w:rFonts w:ascii="Times New Roman" w:eastAsia="仿宋_GB2312" w:hAnsi="Times New Roman" w:hint="eastAsia"/>
          <w:color w:val="333333"/>
          <w:kern w:val="0"/>
          <w:sz w:val="32"/>
          <w:szCs w:val="32"/>
          <w:shd w:val="clear" w:color="auto" w:fill="FFFFFF"/>
        </w:rPr>
        <w:t>开设夜盘交易</w:t>
      </w:r>
      <w:proofErr w:type="gramEnd"/>
      <w:r>
        <w:rPr>
          <w:rFonts w:ascii="Times New Roman" w:eastAsia="仿宋_GB2312" w:hAnsi="Times New Roman" w:hint="eastAsia"/>
          <w:color w:val="333333"/>
          <w:kern w:val="0"/>
          <w:sz w:val="32"/>
          <w:szCs w:val="32"/>
          <w:shd w:val="clear" w:color="auto" w:fill="FFFFFF"/>
        </w:rPr>
        <w:t>的品种，其时限为第一节和第二节交易时间内。若时限内会员未执行完毕，则第三节起由交易所强制执行。因结算准备金小于零而被要求强行平仓的，在</w:t>
      </w:r>
      <w:r>
        <w:rPr>
          <w:rFonts w:ascii="Times New Roman" w:eastAsia="仿宋_GB2312" w:hAnsi="Times New Roman" w:hint="eastAsia"/>
          <w:color w:val="333333"/>
          <w:kern w:val="0"/>
          <w:sz w:val="32"/>
          <w:szCs w:val="32"/>
          <w:shd w:val="clear" w:color="auto" w:fill="FFFFFF"/>
        </w:rPr>
        <w:lastRenderedPageBreak/>
        <w:t>保证金补足至最低结算准备金余额前，禁止相关会员的开仓交易。</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属第四十一条第（三）、（四）、（五）项的强行平仓，其强行平仓时间由交易所另行通知。</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（一）由会员单位执行的强行平</w:t>
      </w:r>
      <w:proofErr w:type="gramStart"/>
      <w:r>
        <w:rPr>
          <w:rFonts w:ascii="Times New Roman" w:eastAsia="仿宋_GB2312" w:hAnsi="Times New Roman" w:hint="eastAsia"/>
          <w:color w:val="333333"/>
          <w:kern w:val="0"/>
          <w:sz w:val="32"/>
          <w:szCs w:val="32"/>
          <w:shd w:val="clear" w:color="auto" w:fill="FFFFFF"/>
        </w:rPr>
        <w:t>仓头</w:t>
      </w:r>
      <w:proofErr w:type="gramEnd"/>
      <w:r>
        <w:rPr>
          <w:rFonts w:ascii="Times New Roman" w:eastAsia="仿宋_GB2312" w:hAnsi="Times New Roman" w:hint="eastAsia"/>
          <w:color w:val="333333"/>
          <w:kern w:val="0"/>
          <w:sz w:val="32"/>
          <w:szCs w:val="32"/>
          <w:shd w:val="clear" w:color="auto" w:fill="FFFFFF"/>
        </w:rPr>
        <w:t>寸的确定</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w:t>
      </w:r>
      <w:r>
        <w:rPr>
          <w:rFonts w:ascii="Times New Roman" w:eastAsia="仿宋_GB2312" w:hAnsi="Times New Roman"/>
          <w:color w:val="333333"/>
          <w:kern w:val="0"/>
          <w:sz w:val="32"/>
          <w:szCs w:val="32"/>
          <w:shd w:val="clear" w:color="auto" w:fill="FFFFFF"/>
        </w:rPr>
        <w:t xml:space="preserve">1. </w:t>
      </w:r>
      <w:r>
        <w:rPr>
          <w:rFonts w:ascii="Times New Roman" w:eastAsia="仿宋_GB2312" w:hAnsi="Times New Roman" w:hint="eastAsia"/>
          <w:color w:val="333333"/>
          <w:kern w:val="0"/>
          <w:sz w:val="32"/>
          <w:szCs w:val="32"/>
          <w:shd w:val="clear" w:color="auto" w:fill="FFFFFF"/>
        </w:rPr>
        <w:t>属第四十一条第（一）、（二）项的强行平仓，</w:t>
      </w:r>
      <w:proofErr w:type="gramStart"/>
      <w:r>
        <w:rPr>
          <w:rFonts w:ascii="Times New Roman" w:eastAsia="仿宋_GB2312" w:hAnsi="Times New Roman" w:hint="eastAsia"/>
          <w:color w:val="333333"/>
          <w:kern w:val="0"/>
          <w:sz w:val="32"/>
          <w:szCs w:val="32"/>
          <w:shd w:val="clear" w:color="auto" w:fill="FFFFFF"/>
        </w:rPr>
        <w:t>其需强行</w:t>
      </w:r>
      <w:proofErr w:type="gramEnd"/>
      <w:r>
        <w:rPr>
          <w:rFonts w:ascii="Times New Roman" w:eastAsia="仿宋_GB2312" w:hAnsi="Times New Roman" w:hint="eastAsia"/>
          <w:color w:val="333333"/>
          <w:kern w:val="0"/>
          <w:sz w:val="32"/>
          <w:szCs w:val="32"/>
          <w:shd w:val="clear" w:color="auto" w:fill="FFFFFF"/>
        </w:rPr>
        <w:t>平</w:t>
      </w:r>
      <w:proofErr w:type="gramStart"/>
      <w:r>
        <w:rPr>
          <w:rFonts w:ascii="Times New Roman" w:eastAsia="仿宋_GB2312" w:hAnsi="Times New Roman" w:hint="eastAsia"/>
          <w:color w:val="333333"/>
          <w:kern w:val="0"/>
          <w:sz w:val="32"/>
          <w:szCs w:val="32"/>
          <w:shd w:val="clear" w:color="auto" w:fill="FFFFFF"/>
        </w:rPr>
        <w:t>仓头寸由会员</w:t>
      </w:r>
      <w:proofErr w:type="gramEnd"/>
      <w:r>
        <w:rPr>
          <w:rFonts w:ascii="Times New Roman" w:eastAsia="仿宋_GB2312" w:hAnsi="Times New Roman" w:hint="eastAsia"/>
          <w:color w:val="333333"/>
          <w:kern w:val="0"/>
          <w:sz w:val="32"/>
          <w:szCs w:val="32"/>
          <w:shd w:val="clear" w:color="auto" w:fill="FFFFFF"/>
        </w:rPr>
        <w:t>单位自行确定，只要强行平仓结果符合交易所规则即可。</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w:t>
      </w:r>
      <w:r>
        <w:rPr>
          <w:rFonts w:ascii="Times New Roman" w:eastAsia="仿宋_GB2312" w:hAnsi="Times New Roman"/>
          <w:color w:val="333333"/>
          <w:kern w:val="0"/>
          <w:sz w:val="32"/>
          <w:szCs w:val="32"/>
          <w:shd w:val="clear" w:color="auto" w:fill="FFFFFF"/>
        </w:rPr>
        <w:t xml:space="preserve">2. </w:t>
      </w:r>
      <w:r>
        <w:rPr>
          <w:rFonts w:ascii="Times New Roman" w:eastAsia="仿宋_GB2312" w:hAnsi="Times New Roman" w:hint="eastAsia"/>
          <w:color w:val="333333"/>
          <w:kern w:val="0"/>
          <w:sz w:val="32"/>
          <w:szCs w:val="32"/>
          <w:shd w:val="clear" w:color="auto" w:fill="FFFFFF"/>
        </w:rPr>
        <w:t>属第四十一条第（三）、（四）、（五）项的强行平仓，</w:t>
      </w:r>
      <w:proofErr w:type="gramStart"/>
      <w:r>
        <w:rPr>
          <w:rFonts w:ascii="Times New Roman" w:eastAsia="仿宋_GB2312" w:hAnsi="Times New Roman" w:hint="eastAsia"/>
          <w:color w:val="333333"/>
          <w:kern w:val="0"/>
          <w:sz w:val="32"/>
          <w:szCs w:val="32"/>
          <w:shd w:val="clear" w:color="auto" w:fill="FFFFFF"/>
        </w:rPr>
        <w:t>其需强行</w:t>
      </w:r>
      <w:proofErr w:type="gramEnd"/>
      <w:r>
        <w:rPr>
          <w:rFonts w:ascii="Times New Roman" w:eastAsia="仿宋_GB2312" w:hAnsi="Times New Roman" w:hint="eastAsia"/>
          <w:color w:val="333333"/>
          <w:kern w:val="0"/>
          <w:sz w:val="32"/>
          <w:szCs w:val="32"/>
          <w:shd w:val="clear" w:color="auto" w:fill="FFFFFF"/>
        </w:rPr>
        <w:t>平</w:t>
      </w:r>
      <w:proofErr w:type="gramStart"/>
      <w:r>
        <w:rPr>
          <w:rFonts w:ascii="Times New Roman" w:eastAsia="仿宋_GB2312" w:hAnsi="Times New Roman" w:hint="eastAsia"/>
          <w:color w:val="333333"/>
          <w:kern w:val="0"/>
          <w:sz w:val="32"/>
          <w:szCs w:val="32"/>
          <w:shd w:val="clear" w:color="auto" w:fill="FFFFFF"/>
        </w:rPr>
        <w:t>仓头寸由交易所</w:t>
      </w:r>
      <w:proofErr w:type="gramEnd"/>
      <w:r>
        <w:rPr>
          <w:rFonts w:ascii="Times New Roman" w:eastAsia="仿宋_GB2312" w:hAnsi="Times New Roman" w:hint="eastAsia"/>
          <w:color w:val="333333"/>
          <w:kern w:val="0"/>
          <w:sz w:val="32"/>
          <w:szCs w:val="32"/>
          <w:shd w:val="clear" w:color="auto" w:fill="FFFFFF"/>
        </w:rPr>
        <w:t>确定。</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（二）由交易所执行的强行平</w:t>
      </w:r>
      <w:proofErr w:type="gramStart"/>
      <w:r>
        <w:rPr>
          <w:rFonts w:ascii="Times New Roman" w:eastAsia="仿宋_GB2312" w:hAnsi="Times New Roman" w:hint="eastAsia"/>
          <w:color w:val="333333"/>
          <w:kern w:val="0"/>
          <w:sz w:val="32"/>
          <w:szCs w:val="32"/>
          <w:shd w:val="clear" w:color="auto" w:fill="FFFFFF"/>
        </w:rPr>
        <w:t>仓头</w:t>
      </w:r>
      <w:proofErr w:type="gramEnd"/>
      <w:r>
        <w:rPr>
          <w:rFonts w:ascii="Times New Roman" w:eastAsia="仿宋_GB2312" w:hAnsi="Times New Roman" w:hint="eastAsia"/>
          <w:color w:val="333333"/>
          <w:kern w:val="0"/>
          <w:sz w:val="32"/>
          <w:szCs w:val="32"/>
          <w:shd w:val="clear" w:color="auto" w:fill="FFFFFF"/>
        </w:rPr>
        <w:t>寸的确定</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w:t>
      </w:r>
      <w:r>
        <w:rPr>
          <w:rFonts w:ascii="Times New Roman" w:eastAsia="仿宋_GB2312" w:hAnsi="Times New Roman"/>
          <w:color w:val="333333"/>
          <w:kern w:val="0"/>
          <w:sz w:val="32"/>
          <w:szCs w:val="32"/>
          <w:shd w:val="clear" w:color="auto" w:fill="FFFFFF"/>
        </w:rPr>
        <w:t xml:space="preserve">1. </w:t>
      </w:r>
      <w:r>
        <w:rPr>
          <w:rFonts w:ascii="Times New Roman" w:eastAsia="仿宋_GB2312" w:hAnsi="Times New Roman" w:hint="eastAsia"/>
          <w:color w:val="333333"/>
          <w:kern w:val="0"/>
          <w:sz w:val="32"/>
          <w:szCs w:val="32"/>
          <w:shd w:val="clear" w:color="auto" w:fill="FFFFFF"/>
        </w:rPr>
        <w:t>属第四十一条第（一）项的强行平仓，交易所以该会员在</w:t>
      </w:r>
      <w:r>
        <w:rPr>
          <w:rFonts w:ascii="Times New Roman" w:eastAsia="仿宋_GB2312" w:hAnsi="Times New Roman"/>
          <w:color w:val="333333"/>
          <w:kern w:val="0"/>
          <w:sz w:val="32"/>
          <w:szCs w:val="32"/>
          <w:shd w:val="clear" w:color="auto" w:fill="FFFFFF"/>
        </w:rPr>
        <w:t>13</w:t>
      </w:r>
      <w:r>
        <w:rPr>
          <w:rFonts w:ascii="Times New Roman" w:eastAsia="仿宋_GB2312" w:hAnsi="Times New Roman" w:hint="eastAsia"/>
          <w:color w:val="333333"/>
          <w:kern w:val="0"/>
          <w:sz w:val="32"/>
          <w:szCs w:val="32"/>
          <w:shd w:val="clear" w:color="auto" w:fill="FFFFFF"/>
        </w:rPr>
        <w:t>：</w:t>
      </w:r>
      <w:r>
        <w:rPr>
          <w:rFonts w:ascii="Times New Roman" w:eastAsia="仿宋_GB2312" w:hAnsi="Times New Roman"/>
          <w:color w:val="333333"/>
          <w:kern w:val="0"/>
          <w:sz w:val="32"/>
          <w:szCs w:val="32"/>
          <w:shd w:val="clear" w:color="auto" w:fill="FFFFFF"/>
        </w:rPr>
        <w:t>00</w:t>
      </w:r>
      <w:r>
        <w:rPr>
          <w:rFonts w:ascii="Times New Roman" w:eastAsia="仿宋_GB2312" w:hAnsi="Times New Roman" w:hint="eastAsia"/>
          <w:color w:val="333333"/>
          <w:kern w:val="0"/>
          <w:sz w:val="32"/>
          <w:szCs w:val="32"/>
          <w:shd w:val="clear" w:color="auto" w:fill="FFFFFF"/>
        </w:rPr>
        <w:t>的结算准备金余额为依据，计算会员应追加的交易保证金，该会员所有客户按交易保证金等比例平仓原则进行强行平仓：</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平仓比例</w:t>
      </w:r>
      <w:r>
        <w:rPr>
          <w:rFonts w:ascii="Times New Roman" w:eastAsia="仿宋_GB2312" w:hAnsi="Times New Roman"/>
          <w:color w:val="333333"/>
          <w:kern w:val="0"/>
          <w:sz w:val="32"/>
          <w:szCs w:val="32"/>
          <w:shd w:val="clear" w:color="auto" w:fill="FFFFFF"/>
        </w:rPr>
        <w:t xml:space="preserve"> = </w:t>
      </w:r>
      <w:r>
        <w:rPr>
          <w:rFonts w:ascii="Times New Roman" w:eastAsia="仿宋_GB2312" w:hAnsi="Times New Roman" w:hint="eastAsia"/>
          <w:color w:val="333333"/>
          <w:kern w:val="0"/>
          <w:sz w:val="32"/>
          <w:szCs w:val="32"/>
          <w:shd w:val="clear" w:color="auto" w:fill="FFFFFF"/>
        </w:rPr>
        <w:t>会员应追加交易保证金</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会员交易保证金总额</w:t>
      </w:r>
      <w:r>
        <w:rPr>
          <w:rFonts w:ascii="Times New Roman" w:eastAsia="仿宋_GB2312" w:hAnsi="Times New Roman"/>
          <w:color w:val="333333"/>
          <w:kern w:val="0"/>
          <w:sz w:val="32"/>
          <w:szCs w:val="32"/>
          <w:shd w:val="clear" w:color="auto" w:fill="FFFFFF"/>
        </w:rPr>
        <w:t>×100%</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客户应平仓释放交易保证金</w:t>
      </w:r>
      <w:r>
        <w:rPr>
          <w:rFonts w:ascii="Times New Roman" w:eastAsia="仿宋_GB2312" w:hAnsi="Times New Roman"/>
          <w:color w:val="333333"/>
          <w:kern w:val="0"/>
          <w:sz w:val="32"/>
          <w:szCs w:val="32"/>
          <w:shd w:val="clear" w:color="auto" w:fill="FFFFFF"/>
        </w:rPr>
        <w:t xml:space="preserve"> = </w:t>
      </w:r>
      <w:r>
        <w:rPr>
          <w:rFonts w:ascii="Times New Roman" w:eastAsia="仿宋_GB2312" w:hAnsi="Times New Roman" w:hint="eastAsia"/>
          <w:color w:val="333333"/>
          <w:kern w:val="0"/>
          <w:sz w:val="32"/>
          <w:szCs w:val="32"/>
          <w:shd w:val="clear" w:color="auto" w:fill="FFFFFF"/>
        </w:rPr>
        <w:t>该客户交易保证金总额</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平仓比例</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客户需要强行平仓的头寸的总体确定原则</w:t>
      </w:r>
      <w:proofErr w:type="gramStart"/>
      <w:r>
        <w:rPr>
          <w:rFonts w:ascii="Times New Roman" w:eastAsia="仿宋_GB2312" w:hAnsi="Times New Roman" w:hint="eastAsia"/>
          <w:color w:val="333333"/>
          <w:kern w:val="0"/>
          <w:sz w:val="32"/>
          <w:szCs w:val="32"/>
          <w:shd w:val="clear" w:color="auto" w:fill="FFFFFF"/>
        </w:rPr>
        <w:t>为先非组合</w:t>
      </w:r>
      <w:proofErr w:type="gramEnd"/>
      <w:r>
        <w:rPr>
          <w:rFonts w:ascii="Times New Roman" w:eastAsia="仿宋_GB2312" w:hAnsi="Times New Roman" w:hint="eastAsia"/>
          <w:color w:val="333333"/>
          <w:kern w:val="0"/>
          <w:sz w:val="32"/>
          <w:szCs w:val="32"/>
          <w:shd w:val="clear" w:color="auto" w:fill="FFFFFF"/>
        </w:rPr>
        <w:t>持仓、后组合持仓。其中：</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lastRenderedPageBreak/>
        <w:t xml:space="preserve">　　（</w:t>
      </w:r>
      <w:r>
        <w:rPr>
          <w:rFonts w:ascii="Times New Roman" w:eastAsia="仿宋_GB2312" w:hAnsi="Times New Roman"/>
          <w:color w:val="333333"/>
          <w:kern w:val="0"/>
          <w:sz w:val="32"/>
          <w:szCs w:val="32"/>
          <w:shd w:val="clear" w:color="auto" w:fill="FFFFFF"/>
        </w:rPr>
        <w:t>1</w:t>
      </w:r>
      <w:r>
        <w:rPr>
          <w:rFonts w:ascii="Times New Roman" w:eastAsia="仿宋_GB2312" w:hAnsi="Times New Roman" w:hint="eastAsia"/>
          <w:color w:val="333333"/>
          <w:kern w:val="0"/>
          <w:sz w:val="32"/>
          <w:szCs w:val="32"/>
          <w:shd w:val="clear" w:color="auto" w:fill="FFFFFF"/>
        </w:rPr>
        <w:t>）</w:t>
      </w:r>
      <w:proofErr w:type="gramStart"/>
      <w:r>
        <w:rPr>
          <w:rFonts w:ascii="Times New Roman" w:eastAsia="仿宋_GB2312" w:hAnsi="Times New Roman" w:hint="eastAsia"/>
          <w:color w:val="333333"/>
          <w:kern w:val="0"/>
          <w:sz w:val="32"/>
          <w:szCs w:val="32"/>
          <w:shd w:val="clear" w:color="auto" w:fill="FFFFFF"/>
        </w:rPr>
        <w:t>平非组合</w:t>
      </w:r>
      <w:proofErr w:type="gramEnd"/>
      <w:r>
        <w:rPr>
          <w:rFonts w:ascii="Times New Roman" w:eastAsia="仿宋_GB2312" w:hAnsi="Times New Roman" w:hint="eastAsia"/>
          <w:color w:val="333333"/>
          <w:kern w:val="0"/>
          <w:sz w:val="32"/>
          <w:szCs w:val="32"/>
          <w:shd w:val="clear" w:color="auto" w:fill="FFFFFF"/>
        </w:rPr>
        <w:t>持仓时，按先期货、后期权的原则选择强行平仓合约。</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w:t>
      </w:r>
      <w:proofErr w:type="gramStart"/>
      <w:r>
        <w:rPr>
          <w:rFonts w:ascii="Times New Roman" w:eastAsia="仿宋_GB2312" w:hAnsi="Times New Roman" w:hint="eastAsia"/>
          <w:color w:val="333333"/>
          <w:kern w:val="0"/>
          <w:sz w:val="32"/>
          <w:szCs w:val="32"/>
          <w:shd w:val="clear" w:color="auto" w:fill="FFFFFF"/>
        </w:rPr>
        <w:t>平非组合</w:t>
      </w:r>
      <w:proofErr w:type="gramEnd"/>
      <w:r>
        <w:rPr>
          <w:rFonts w:ascii="Times New Roman" w:eastAsia="仿宋_GB2312" w:hAnsi="Times New Roman" w:hint="eastAsia"/>
          <w:color w:val="333333"/>
          <w:kern w:val="0"/>
          <w:sz w:val="32"/>
          <w:szCs w:val="32"/>
          <w:shd w:val="clear" w:color="auto" w:fill="FFFFFF"/>
        </w:rPr>
        <w:t>持仓中的期货持仓时，按先投机、后套期保值，再按上一交易日结算时合约总持仓量由大到小顺序选择强行平仓合约。</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w:t>
      </w:r>
      <w:proofErr w:type="gramStart"/>
      <w:r>
        <w:rPr>
          <w:rFonts w:ascii="Times New Roman" w:eastAsia="仿宋_GB2312" w:hAnsi="Times New Roman" w:hint="eastAsia"/>
          <w:color w:val="333333"/>
          <w:kern w:val="0"/>
          <w:sz w:val="32"/>
          <w:szCs w:val="32"/>
          <w:shd w:val="clear" w:color="auto" w:fill="FFFFFF"/>
        </w:rPr>
        <w:t>平非组合</w:t>
      </w:r>
      <w:proofErr w:type="gramEnd"/>
      <w:r>
        <w:rPr>
          <w:rFonts w:ascii="Times New Roman" w:eastAsia="仿宋_GB2312" w:hAnsi="Times New Roman" w:hint="eastAsia"/>
          <w:color w:val="333333"/>
          <w:kern w:val="0"/>
          <w:sz w:val="32"/>
          <w:szCs w:val="32"/>
          <w:shd w:val="clear" w:color="auto" w:fill="FFFFFF"/>
        </w:rPr>
        <w:t>持仓中的期权持仓时</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按先</w:t>
      </w:r>
      <w:proofErr w:type="gramStart"/>
      <w:r>
        <w:rPr>
          <w:rFonts w:ascii="Times New Roman" w:eastAsia="仿宋_GB2312" w:hAnsi="Times New Roman" w:hint="eastAsia"/>
          <w:color w:val="333333"/>
          <w:kern w:val="0"/>
          <w:sz w:val="32"/>
          <w:szCs w:val="32"/>
          <w:shd w:val="clear" w:color="auto" w:fill="FFFFFF"/>
        </w:rPr>
        <w:t>期权卖</w:t>
      </w:r>
      <w:proofErr w:type="gramEnd"/>
      <w:r>
        <w:rPr>
          <w:rFonts w:ascii="Times New Roman" w:eastAsia="仿宋_GB2312" w:hAnsi="Times New Roman" w:hint="eastAsia"/>
          <w:color w:val="333333"/>
          <w:kern w:val="0"/>
          <w:sz w:val="32"/>
          <w:szCs w:val="32"/>
          <w:shd w:val="clear" w:color="auto" w:fill="FFFFFF"/>
        </w:rPr>
        <w:t>持仓、后</w:t>
      </w:r>
      <w:proofErr w:type="gramStart"/>
      <w:r>
        <w:rPr>
          <w:rFonts w:ascii="Times New Roman" w:eastAsia="仿宋_GB2312" w:hAnsi="Times New Roman" w:hint="eastAsia"/>
          <w:color w:val="333333"/>
          <w:kern w:val="0"/>
          <w:sz w:val="32"/>
          <w:szCs w:val="32"/>
          <w:shd w:val="clear" w:color="auto" w:fill="FFFFFF"/>
        </w:rPr>
        <w:t>期权买</w:t>
      </w:r>
      <w:proofErr w:type="gramEnd"/>
      <w:r>
        <w:rPr>
          <w:rFonts w:ascii="Times New Roman" w:eastAsia="仿宋_GB2312" w:hAnsi="Times New Roman" w:hint="eastAsia"/>
          <w:color w:val="333333"/>
          <w:kern w:val="0"/>
          <w:sz w:val="32"/>
          <w:szCs w:val="32"/>
          <w:shd w:val="clear" w:color="auto" w:fill="FFFFFF"/>
        </w:rPr>
        <w:t>持仓，先投机、后套期保值，再按上一交易日结算时合约总持仓量由大到小顺序选择强行平仓合约。</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w:t>
      </w:r>
      <w:r>
        <w:rPr>
          <w:rFonts w:ascii="Times New Roman" w:eastAsia="仿宋_GB2312" w:hAnsi="Times New Roman"/>
          <w:color w:val="333333"/>
          <w:kern w:val="0"/>
          <w:sz w:val="32"/>
          <w:szCs w:val="32"/>
          <w:shd w:val="clear" w:color="auto" w:fill="FFFFFF"/>
        </w:rPr>
        <w:t>2</w:t>
      </w:r>
      <w:r>
        <w:rPr>
          <w:rFonts w:ascii="Times New Roman" w:eastAsia="仿宋_GB2312" w:hAnsi="Times New Roman" w:hint="eastAsia"/>
          <w:color w:val="333333"/>
          <w:kern w:val="0"/>
          <w:sz w:val="32"/>
          <w:szCs w:val="32"/>
          <w:shd w:val="clear" w:color="auto" w:fill="FFFFFF"/>
        </w:rPr>
        <w:t>）平组合持仓时，按组合优先级由低到高顺序选择强行平仓合约。</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若多个会员需要强行平仓的，按追加保证金由大到小的顺序，先</w:t>
      </w:r>
      <w:proofErr w:type="gramStart"/>
      <w:r>
        <w:rPr>
          <w:rFonts w:ascii="Times New Roman" w:eastAsia="仿宋_GB2312" w:hAnsi="Times New Roman" w:hint="eastAsia"/>
          <w:color w:val="333333"/>
          <w:kern w:val="0"/>
          <w:sz w:val="32"/>
          <w:szCs w:val="32"/>
          <w:shd w:val="clear" w:color="auto" w:fill="FFFFFF"/>
        </w:rPr>
        <w:t>平需要</w:t>
      </w:r>
      <w:proofErr w:type="gramEnd"/>
      <w:r>
        <w:rPr>
          <w:rFonts w:ascii="Times New Roman" w:eastAsia="仿宋_GB2312" w:hAnsi="Times New Roman" w:hint="eastAsia"/>
          <w:color w:val="333333"/>
          <w:kern w:val="0"/>
          <w:sz w:val="32"/>
          <w:szCs w:val="32"/>
          <w:shd w:val="clear" w:color="auto" w:fill="FFFFFF"/>
        </w:rPr>
        <w:t>追加保证金大的会员。</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w:t>
      </w:r>
      <w:r>
        <w:rPr>
          <w:rFonts w:ascii="Times New Roman" w:eastAsia="仿宋_GB2312" w:hAnsi="Times New Roman"/>
          <w:color w:val="333333"/>
          <w:kern w:val="0"/>
          <w:sz w:val="32"/>
          <w:szCs w:val="32"/>
          <w:shd w:val="clear" w:color="auto" w:fill="FFFFFF"/>
        </w:rPr>
        <w:t xml:space="preserve">2. </w:t>
      </w:r>
      <w:r>
        <w:rPr>
          <w:rFonts w:ascii="Times New Roman" w:eastAsia="仿宋_GB2312" w:hAnsi="Times New Roman" w:hint="eastAsia"/>
          <w:color w:val="333333"/>
          <w:kern w:val="0"/>
          <w:sz w:val="32"/>
          <w:szCs w:val="32"/>
          <w:shd w:val="clear" w:color="auto" w:fill="FFFFFF"/>
        </w:rPr>
        <w:t>属第四十一条第（二）项的强行平仓：若既有投机</w:t>
      </w:r>
      <w:proofErr w:type="gramStart"/>
      <w:r>
        <w:rPr>
          <w:rFonts w:ascii="Times New Roman" w:eastAsia="仿宋_GB2312" w:hAnsi="Times New Roman" w:hint="eastAsia"/>
          <w:color w:val="333333"/>
          <w:kern w:val="0"/>
          <w:sz w:val="32"/>
          <w:szCs w:val="32"/>
          <w:shd w:val="clear" w:color="auto" w:fill="FFFFFF"/>
        </w:rPr>
        <w:t>持仓超仓也有</w:t>
      </w:r>
      <w:proofErr w:type="gramEnd"/>
      <w:r>
        <w:rPr>
          <w:rFonts w:ascii="Times New Roman" w:eastAsia="仿宋_GB2312" w:hAnsi="Times New Roman" w:hint="eastAsia"/>
          <w:color w:val="333333"/>
          <w:kern w:val="0"/>
          <w:sz w:val="32"/>
          <w:szCs w:val="32"/>
          <w:shd w:val="clear" w:color="auto" w:fill="FFFFFF"/>
        </w:rPr>
        <w:t>保值持仓超仓，则按先投机持仓后保值持仓的顺序强行平仓。</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若客户在多个期货公司会员处持有投机持仓，则按该客户投机持仓数量由大到小的顺序选择期货公司会员强行平仓。若多个客户投机持仓超仓，则按客户投机</w:t>
      </w:r>
      <w:proofErr w:type="gramStart"/>
      <w:r>
        <w:rPr>
          <w:rFonts w:ascii="Times New Roman" w:eastAsia="仿宋_GB2312" w:hAnsi="Times New Roman" w:hint="eastAsia"/>
          <w:color w:val="333333"/>
          <w:kern w:val="0"/>
          <w:sz w:val="32"/>
          <w:szCs w:val="32"/>
          <w:shd w:val="clear" w:color="auto" w:fill="FFFFFF"/>
        </w:rPr>
        <w:t>超仓数量</w:t>
      </w:r>
      <w:proofErr w:type="gramEnd"/>
      <w:r>
        <w:rPr>
          <w:rFonts w:ascii="Times New Roman" w:eastAsia="仿宋_GB2312" w:hAnsi="Times New Roman" w:hint="eastAsia"/>
          <w:color w:val="333333"/>
          <w:kern w:val="0"/>
          <w:sz w:val="32"/>
          <w:szCs w:val="32"/>
          <w:shd w:val="clear" w:color="auto" w:fill="FFFFFF"/>
        </w:rPr>
        <w:t>由大到小顺序强行平仓。</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w:t>
      </w:r>
      <w:r>
        <w:rPr>
          <w:rFonts w:ascii="Times New Roman" w:eastAsia="仿宋_GB2312" w:hAnsi="Times New Roman"/>
          <w:color w:val="333333"/>
          <w:kern w:val="0"/>
          <w:sz w:val="32"/>
          <w:szCs w:val="32"/>
          <w:shd w:val="clear" w:color="auto" w:fill="FFFFFF"/>
        </w:rPr>
        <w:t xml:space="preserve">3. </w:t>
      </w:r>
      <w:r>
        <w:rPr>
          <w:rFonts w:ascii="Times New Roman" w:eastAsia="仿宋_GB2312" w:hAnsi="Times New Roman" w:hint="eastAsia"/>
          <w:color w:val="333333"/>
          <w:kern w:val="0"/>
          <w:sz w:val="32"/>
          <w:szCs w:val="32"/>
          <w:shd w:val="clear" w:color="auto" w:fill="FFFFFF"/>
        </w:rPr>
        <w:t>属第四十一条第（三）、（四）、（五）项的强行平仓，强行平</w:t>
      </w:r>
      <w:proofErr w:type="gramStart"/>
      <w:r>
        <w:rPr>
          <w:rFonts w:ascii="Times New Roman" w:eastAsia="仿宋_GB2312" w:hAnsi="Times New Roman" w:hint="eastAsia"/>
          <w:color w:val="333333"/>
          <w:kern w:val="0"/>
          <w:sz w:val="32"/>
          <w:szCs w:val="32"/>
          <w:shd w:val="clear" w:color="auto" w:fill="FFFFFF"/>
        </w:rPr>
        <w:t>仓头寸由交易所</w:t>
      </w:r>
      <w:proofErr w:type="gramEnd"/>
      <w:r>
        <w:rPr>
          <w:rFonts w:ascii="Times New Roman" w:eastAsia="仿宋_GB2312" w:hAnsi="Times New Roman" w:hint="eastAsia"/>
          <w:color w:val="333333"/>
          <w:kern w:val="0"/>
          <w:sz w:val="32"/>
          <w:szCs w:val="32"/>
          <w:shd w:val="clear" w:color="auto" w:fill="FFFFFF"/>
        </w:rPr>
        <w:t>根据涉及的会员和客户具体情况确定。</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lastRenderedPageBreak/>
        <w:t xml:space="preserve">　　若会员同时满足第四十一条第（一）、（二）项情况，交易所先按第（二）项情况确定强行平</w:t>
      </w:r>
      <w:proofErr w:type="gramStart"/>
      <w:r>
        <w:rPr>
          <w:rFonts w:ascii="Times New Roman" w:eastAsia="仿宋_GB2312" w:hAnsi="Times New Roman" w:hint="eastAsia"/>
          <w:color w:val="333333"/>
          <w:kern w:val="0"/>
          <w:sz w:val="32"/>
          <w:szCs w:val="32"/>
          <w:shd w:val="clear" w:color="auto" w:fill="FFFFFF"/>
        </w:rPr>
        <w:t>仓头</w:t>
      </w:r>
      <w:proofErr w:type="gramEnd"/>
      <w:r>
        <w:rPr>
          <w:rFonts w:ascii="Times New Roman" w:eastAsia="仿宋_GB2312" w:hAnsi="Times New Roman" w:hint="eastAsia"/>
          <w:color w:val="333333"/>
          <w:kern w:val="0"/>
          <w:sz w:val="32"/>
          <w:szCs w:val="32"/>
          <w:shd w:val="clear" w:color="auto" w:fill="FFFFFF"/>
        </w:rPr>
        <w:t>寸，再按第（一）项情况确定强行平</w:t>
      </w:r>
      <w:proofErr w:type="gramStart"/>
      <w:r>
        <w:rPr>
          <w:rFonts w:ascii="Times New Roman" w:eastAsia="仿宋_GB2312" w:hAnsi="Times New Roman" w:hint="eastAsia"/>
          <w:color w:val="333333"/>
          <w:kern w:val="0"/>
          <w:sz w:val="32"/>
          <w:szCs w:val="32"/>
          <w:shd w:val="clear" w:color="auto" w:fill="FFFFFF"/>
        </w:rPr>
        <w:t>仓头</w:t>
      </w:r>
      <w:proofErr w:type="gramEnd"/>
      <w:r>
        <w:rPr>
          <w:rFonts w:ascii="Times New Roman" w:eastAsia="仿宋_GB2312" w:hAnsi="Times New Roman" w:hint="eastAsia"/>
          <w:color w:val="333333"/>
          <w:kern w:val="0"/>
          <w:sz w:val="32"/>
          <w:szCs w:val="32"/>
          <w:shd w:val="clear" w:color="auto" w:fill="FFFFFF"/>
        </w:rPr>
        <w:t>寸。</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第四十三条强行平仓的执行：</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（一）通知。</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交易所以</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强行平仓通知书</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（以下简称通知书）的形式向有关会员下达强行平仓要求。通知书除交易所特别送达以外，通过会员服务系统随当日结算数据发送，有关会员可以通过会员服务系统获得。</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（二）执行及确认。</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w:t>
      </w:r>
      <w:r>
        <w:rPr>
          <w:rFonts w:ascii="Times New Roman" w:eastAsia="仿宋_GB2312" w:hAnsi="Times New Roman"/>
          <w:color w:val="333333"/>
          <w:kern w:val="0"/>
          <w:sz w:val="32"/>
          <w:szCs w:val="32"/>
          <w:shd w:val="clear" w:color="auto" w:fill="FFFFFF"/>
        </w:rPr>
        <w:t xml:space="preserve">1. </w:t>
      </w:r>
      <w:r>
        <w:rPr>
          <w:rFonts w:ascii="Times New Roman" w:eastAsia="仿宋_GB2312" w:hAnsi="Times New Roman" w:hint="eastAsia"/>
          <w:color w:val="333333"/>
          <w:kern w:val="0"/>
          <w:sz w:val="32"/>
          <w:szCs w:val="32"/>
          <w:shd w:val="clear" w:color="auto" w:fill="FFFFFF"/>
        </w:rPr>
        <w:t>开市后，有关会员必须首先自行平仓，直至达到平仓要求；</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w:t>
      </w:r>
      <w:r>
        <w:rPr>
          <w:rFonts w:ascii="Times New Roman" w:eastAsia="仿宋_GB2312" w:hAnsi="Times New Roman"/>
          <w:color w:val="333333"/>
          <w:kern w:val="0"/>
          <w:sz w:val="32"/>
          <w:szCs w:val="32"/>
          <w:shd w:val="clear" w:color="auto" w:fill="FFFFFF"/>
        </w:rPr>
        <w:t xml:space="preserve">2. </w:t>
      </w:r>
      <w:r>
        <w:rPr>
          <w:rFonts w:ascii="Times New Roman" w:eastAsia="仿宋_GB2312" w:hAnsi="Times New Roman" w:hint="eastAsia"/>
          <w:color w:val="333333"/>
          <w:kern w:val="0"/>
          <w:sz w:val="32"/>
          <w:szCs w:val="32"/>
          <w:shd w:val="clear" w:color="auto" w:fill="FFFFFF"/>
        </w:rPr>
        <w:t>超过会员自行强行平仓时限而未执行完毕的，剩余部份由交易所直接执行强行平仓；</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w:t>
      </w:r>
      <w:r>
        <w:rPr>
          <w:rFonts w:ascii="Times New Roman" w:eastAsia="仿宋_GB2312" w:hAnsi="Times New Roman"/>
          <w:color w:val="333333"/>
          <w:kern w:val="0"/>
          <w:sz w:val="32"/>
          <w:szCs w:val="32"/>
          <w:shd w:val="clear" w:color="auto" w:fill="FFFFFF"/>
        </w:rPr>
        <w:t xml:space="preserve">3. </w:t>
      </w:r>
      <w:r>
        <w:rPr>
          <w:rFonts w:ascii="Times New Roman" w:eastAsia="仿宋_GB2312" w:hAnsi="Times New Roman" w:hint="eastAsia"/>
          <w:color w:val="333333"/>
          <w:kern w:val="0"/>
          <w:sz w:val="32"/>
          <w:szCs w:val="32"/>
          <w:shd w:val="clear" w:color="auto" w:fill="FFFFFF"/>
        </w:rPr>
        <w:t>强行平仓执行完毕后，由交易所记录执行结果并存档；</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w:t>
      </w:r>
      <w:r>
        <w:rPr>
          <w:rFonts w:ascii="Times New Roman" w:eastAsia="仿宋_GB2312" w:hAnsi="Times New Roman"/>
          <w:color w:val="333333"/>
          <w:kern w:val="0"/>
          <w:sz w:val="32"/>
          <w:szCs w:val="32"/>
          <w:shd w:val="clear" w:color="auto" w:fill="FFFFFF"/>
        </w:rPr>
        <w:t xml:space="preserve">4. </w:t>
      </w:r>
      <w:r>
        <w:rPr>
          <w:rFonts w:ascii="Times New Roman" w:eastAsia="仿宋_GB2312" w:hAnsi="Times New Roman" w:hint="eastAsia"/>
          <w:color w:val="333333"/>
          <w:kern w:val="0"/>
          <w:sz w:val="32"/>
          <w:szCs w:val="32"/>
          <w:shd w:val="clear" w:color="auto" w:fill="FFFFFF"/>
        </w:rPr>
        <w:t>强行平仓结果随当日成交记录发送，有关会员可以通过会员服务系统获得。</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第四十四条强行平仓的委托价格为该合约的涨（跌）停板价格，强行平仓的成交价格通过市场交易形成。</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lastRenderedPageBreak/>
        <w:t xml:space="preserve">　　第四十五条如因价格涨跌停板或其他市场原因而无法在当日完成全部强行平仓的，交易所根据结算结果，对该会员或客户做出相应的处理。</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第四十六条由于价格涨跌停板限制或其他市场原因，有关持仓的强行平仓只能延时完成的，因此发生的亏损，仍由直接责任人承担；未能完成平仓的，该持仓持有者须继续对此承担持仓责任或交割义务。</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四十七条除第四十一条第（三）项外，强行平仓产生的盈利或者亏损均归持仓人。持仓人是客户的，强行平仓后发生的亏损，由该客户开户所在期货公司会员先行承担后，自行向该客户追索；持仓人是境外经纪机构客户的，境外经纪机构应辅助其委托交易结算的期货公司会员强行平仓，强行平仓后发生的亏损，由为该境外经纪机构交易结算的期货公司会员先行承担后</w:t>
      </w:r>
      <w:r>
        <w:rPr>
          <w:rFonts w:ascii="Times New Roman" w:eastAsia="仿宋_GB2312" w:hAnsi="Times New Roman"/>
          <w:color w:val="333333"/>
          <w:kern w:val="0"/>
          <w:sz w:val="32"/>
          <w:szCs w:val="32"/>
          <w:shd w:val="clear" w:color="auto" w:fill="FFFFFF"/>
        </w:rPr>
        <w:t>,</w:t>
      </w:r>
      <w:r>
        <w:rPr>
          <w:rFonts w:ascii="Times New Roman" w:eastAsia="仿宋_GB2312" w:hAnsi="Times New Roman" w:hint="eastAsia"/>
          <w:color w:val="333333"/>
          <w:kern w:val="0"/>
          <w:sz w:val="32"/>
          <w:szCs w:val="32"/>
          <w:shd w:val="clear" w:color="auto" w:fill="FFFFFF"/>
        </w:rPr>
        <w:t>自行向该境外经纪机构追索，境外经纪机构承担损失后，自行向该客户追索。</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本办法第四十一条第（三）项实施的强行平仓，亏损由相应的会员或客户承担，盈利计入交易所营业外收入。</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会员或客户强行平仓产生的盈利或者亏损根据《大连商品交易所结算管理办法》平仓盈亏有关规定计算。</w:t>
      </w:r>
    </w:p>
    <w:p w:rsidR="00104D85" w:rsidRDefault="00104D85" w:rsidP="00104D85">
      <w:pPr>
        <w:widowControl/>
        <w:shd w:val="clear" w:color="auto" w:fill="FFFFFF"/>
        <w:jc w:val="center"/>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第八章</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异常情况处理</w:t>
      </w:r>
    </w:p>
    <w:p w:rsidR="00104D85" w:rsidRDefault="00104D85" w:rsidP="00104D85">
      <w:pPr>
        <w:widowControl/>
        <w:shd w:val="clear" w:color="auto" w:fill="FFFFFF"/>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lastRenderedPageBreak/>
        <w:t>第四十八条</w:t>
      </w:r>
      <w:r>
        <w:rPr>
          <w:rFonts w:ascii="Times New Roman" w:eastAsia="仿宋_GB2312" w:hAnsi="Times New Roman"/>
          <w:color w:val="333333"/>
          <w:kern w:val="0"/>
          <w:sz w:val="32"/>
          <w:szCs w:val="32"/>
        </w:rPr>
        <w:t xml:space="preserve"> </w:t>
      </w:r>
      <w:r>
        <w:rPr>
          <w:rFonts w:ascii="Times New Roman" w:eastAsia="仿宋_GB2312" w:hAnsi="Times New Roman" w:hint="eastAsia"/>
          <w:color w:val="333333"/>
          <w:kern w:val="0"/>
          <w:sz w:val="32"/>
          <w:szCs w:val="32"/>
        </w:rPr>
        <w:t>在期货交易过程中，当出现以下情形之一的，交易所采取紧急措施化解风险，并可以宣布进入异常情况：</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（一）地震、水灾、火灾等不可抗力或计算机系统故障等原因导致交易、结算、交割、行权与履约等业务无法正常进行；</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（二）出现结算、交割、行权与履约危机，对市场正在产生或者将产生重大影响；</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（三）期货价格出现同方向连续涨跌停板</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有根据认为会员、境外经纪机构或者客户违反交易所交易规则及其实施细则并且对市场正在产生或者即将产生重大影响；</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（四）交易所规定的其他情况。</w:t>
      </w:r>
    </w:p>
    <w:p w:rsidR="00104D85" w:rsidRDefault="00104D85" w:rsidP="00104D85">
      <w:pPr>
        <w:widowControl/>
        <w:shd w:val="clear" w:color="auto" w:fill="FFFFFF"/>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出现第一款第（一）项异常情况时，交易所总经理可以采取调整开市收市时间，暂停交易，调整交易时间，暂停挂牌新合约，调整相关合约最后交易日、到期日、最后交割日、</w:t>
      </w:r>
      <w:proofErr w:type="gramStart"/>
      <w:r>
        <w:rPr>
          <w:rFonts w:ascii="Times New Roman" w:eastAsia="仿宋_GB2312" w:hAnsi="Times New Roman" w:hint="eastAsia"/>
          <w:color w:val="333333"/>
          <w:kern w:val="0"/>
          <w:sz w:val="32"/>
          <w:szCs w:val="32"/>
        </w:rPr>
        <w:t>交收日等</w:t>
      </w:r>
      <w:proofErr w:type="gramEnd"/>
      <w:r>
        <w:rPr>
          <w:rFonts w:ascii="Times New Roman" w:eastAsia="仿宋_GB2312" w:hAnsi="Times New Roman" w:hint="eastAsia"/>
          <w:color w:val="333333"/>
          <w:kern w:val="0"/>
          <w:sz w:val="32"/>
          <w:szCs w:val="32"/>
        </w:rPr>
        <w:t>日期，调整标准仓单和交割相关业务，调整期权行权、履约及相关对冲业务，调整资产作为保证金业务，取消未办理的相关业务申请，调整强行平仓实施时间，调整保证金收取标准或者方式，调整涨跌停板幅度，调整合约结算价、交割结算价，调整相关费用收取标准及结算时间，调整结算数据发送方式等紧急措施；出现第一款第（一）项异常情况且交易指令、成交数据错误、丢失无法恢复的，交易所总经理可以决定取消未成交的交易指令，理事会可以决定取消交易。</w:t>
      </w:r>
    </w:p>
    <w:p w:rsidR="00104D85" w:rsidRDefault="00104D85" w:rsidP="00104D85">
      <w:pPr>
        <w:widowControl/>
        <w:shd w:val="clear" w:color="auto" w:fill="FFFFFF"/>
        <w:ind w:firstLineChars="200" w:firstLine="640"/>
        <w:rPr>
          <w:rFonts w:ascii="Times New Roman" w:eastAsia="黑体" w:hAnsi="Times New Roman"/>
          <w:color w:val="333333"/>
          <w:kern w:val="0"/>
          <w:sz w:val="32"/>
          <w:szCs w:val="32"/>
        </w:rPr>
      </w:pPr>
      <w:r>
        <w:rPr>
          <w:rFonts w:ascii="Times New Roman" w:eastAsia="仿宋_GB2312" w:hAnsi="Times New Roman" w:hint="eastAsia"/>
          <w:color w:val="333333"/>
          <w:kern w:val="0"/>
          <w:sz w:val="32"/>
          <w:szCs w:val="32"/>
        </w:rPr>
        <w:lastRenderedPageBreak/>
        <w:t>出现第一款第（二）、（三）、（四）项异常情况时，理事会可以决定采取调整开市收市时间、暂停交易、调整涨跌停板幅度、提高交易保证金、暂停开仓、限期平仓、强行平仓、限制出金、强制减仓等紧急措施。</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第四十九条</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交易所宣布异常情况并决定采取紧急措施前必须报告中国证监会。</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第五十条</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交易所宣布进入异常情况并决定暂停交易时，暂停交易的期限不得超过</w:t>
      </w:r>
      <w:r>
        <w:rPr>
          <w:rFonts w:ascii="Times New Roman" w:eastAsia="仿宋_GB2312" w:hAnsi="Times New Roman"/>
          <w:color w:val="333333"/>
          <w:kern w:val="0"/>
          <w:sz w:val="32"/>
          <w:szCs w:val="32"/>
          <w:shd w:val="clear" w:color="auto" w:fill="FFFFFF"/>
        </w:rPr>
        <w:t>3</w:t>
      </w:r>
      <w:r>
        <w:rPr>
          <w:rFonts w:ascii="Times New Roman" w:eastAsia="仿宋_GB2312" w:hAnsi="Times New Roman" w:hint="eastAsia"/>
          <w:color w:val="333333"/>
          <w:kern w:val="0"/>
          <w:sz w:val="32"/>
          <w:szCs w:val="32"/>
          <w:shd w:val="clear" w:color="auto" w:fill="FFFFFF"/>
        </w:rPr>
        <w:t>个交易日，但经中国证监会批准延长的除外。</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第五十一条</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发生技术故障，存在下列情形时，交易所不承担责任：</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（一）因不可抗力引发的技术故障；</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（二）非因交易所过错引发的技术故障；</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（三）法律、法规、规章规定的其他免责情形。</w:t>
      </w:r>
    </w:p>
    <w:p w:rsidR="00104D85" w:rsidRDefault="00104D85" w:rsidP="00104D85">
      <w:pPr>
        <w:widowControl/>
        <w:shd w:val="clear" w:color="auto" w:fill="FFFFFF"/>
        <w:jc w:val="center"/>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第九章　风险警示制度</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第五十二条</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交易所实行风险警示制度。当交易所认为必要时，可以分别或同时采取要求报告情况、谈话提醒、发布风险提示函等措施中的一种或多种，以警示和化解风险。</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第五十三条</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出现下列情形之一的，交易所可以要求会员、境外经纪机构或客户报告情况，或约见指定的会员、境外经纪机构高管人员或客户谈话提醒风险：</w:t>
      </w:r>
    </w:p>
    <w:p w:rsidR="00104D85" w:rsidRDefault="00104D85" w:rsidP="00104D85">
      <w:pPr>
        <w:widowControl/>
        <w:shd w:val="clear" w:color="auto" w:fill="FFFFFF"/>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lastRenderedPageBreak/>
        <w:t xml:space="preserve">　　（一）合约价格出现异常变动；</w:t>
      </w:r>
    </w:p>
    <w:p w:rsidR="00104D85" w:rsidRDefault="00104D85" w:rsidP="00104D85">
      <w:pPr>
        <w:widowControl/>
        <w:shd w:val="clear" w:color="auto" w:fill="FFFFFF"/>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（二）品种、合约成交持仓比出现异常变动；</w:t>
      </w:r>
    </w:p>
    <w:p w:rsidR="00104D85" w:rsidRDefault="00104D85" w:rsidP="00104D85">
      <w:pPr>
        <w:widowControl/>
        <w:shd w:val="clear" w:color="auto" w:fill="FFFFFF"/>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（三）会员或客户交易行为异常；</w:t>
      </w:r>
    </w:p>
    <w:p w:rsidR="00104D85" w:rsidRDefault="00104D85" w:rsidP="00104D85">
      <w:pPr>
        <w:widowControl/>
        <w:shd w:val="clear" w:color="auto" w:fill="FFFFFF"/>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（四）会员、境外经纪机构或客户持仓变化较大；</w:t>
      </w:r>
    </w:p>
    <w:p w:rsidR="00104D85" w:rsidRDefault="00104D85" w:rsidP="00104D85">
      <w:pPr>
        <w:widowControl/>
        <w:shd w:val="clear" w:color="auto" w:fill="FFFFFF"/>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（五）会员、境外经纪机构或客户持仓量过大，或持仓占比过高；</w:t>
      </w:r>
    </w:p>
    <w:p w:rsidR="00104D85" w:rsidRDefault="00104D85" w:rsidP="00104D85">
      <w:pPr>
        <w:widowControl/>
        <w:shd w:val="clear" w:color="auto" w:fill="FFFFFF"/>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（六）会员、境外经纪机构或客户成交量过大，或成交占比过高；</w:t>
      </w:r>
    </w:p>
    <w:p w:rsidR="00104D85" w:rsidRDefault="00104D85" w:rsidP="00104D85">
      <w:pPr>
        <w:widowControl/>
        <w:shd w:val="clear" w:color="auto" w:fill="FFFFFF"/>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（七）会员资金变化较大；</w:t>
      </w:r>
    </w:p>
    <w:p w:rsidR="00104D85" w:rsidRDefault="00104D85" w:rsidP="00104D85">
      <w:pPr>
        <w:widowControl/>
        <w:shd w:val="clear" w:color="auto" w:fill="FFFFFF"/>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（八）会员、境外经纪机构或客户涉嫌违规；</w:t>
      </w:r>
    </w:p>
    <w:p w:rsidR="00104D85" w:rsidRDefault="00104D85" w:rsidP="00104D85">
      <w:pPr>
        <w:widowControl/>
        <w:shd w:val="clear" w:color="auto" w:fill="FFFFFF"/>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（九）会员、境外经纪机构或客户被投诉；</w:t>
      </w:r>
    </w:p>
    <w:p w:rsidR="00104D85" w:rsidRDefault="00104D85" w:rsidP="00104D85">
      <w:pPr>
        <w:widowControl/>
        <w:shd w:val="clear" w:color="auto" w:fill="FFFFFF"/>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（十）会员、境外经纪机构或客户涉及司法调查或诉讼案件；</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（十一）交易所认定的其他情形。</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交易所要求会员、境外经纪机构或客户报告情况的，会员、境外经纪机构或客户应当按照交易所要求的时间、内容和方式如实报告。</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交易所实施谈话提醒的，会员、境外经纪机构或客户应当按照交易所要求的时间、地点和方式认真履行。</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lastRenderedPageBreak/>
        <w:t xml:space="preserve">　　交易所如果使用电话提示方式，应保留电话录音；如果使用视频谈话方式，应保存相关视频；如果使用现场谈话方式，应保存谈话记录。</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第五十四条</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发生下列情形之一的，交易所可以向全体或部分会员、境外经纪机构和客户发出风险提示函：</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（一）期货市场交易出现异常变化；</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（二）国内外期货或现货市场发生较大变化；</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（三）会员、境外经纪机构或客户涉嫌违规；</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（四）会员、境外经纪机构或客户交易存在较大风险；</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（五）交易所认定的其他异常情形。</w:t>
      </w:r>
    </w:p>
    <w:p w:rsidR="00104D85" w:rsidRDefault="00104D85" w:rsidP="00104D85">
      <w:pPr>
        <w:widowControl/>
        <w:shd w:val="clear" w:color="auto" w:fill="FFFFFF"/>
        <w:jc w:val="center"/>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第十章</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附则</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第五十五条</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违反本办法规定的，交易所按《大连商品交易所违规处理办法》的有关规定处理。</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第五十六条</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交易所对期权交易风险管理有特别规定的，适用其规定。</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第五十七条</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本办法解释权属于大连商品交易所。</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第五十八条</w:t>
      </w:r>
      <w:r>
        <w:rPr>
          <w:rFonts w:ascii="Times New Roman" w:eastAsia="仿宋_GB2312" w:hAnsi="Times New Roman"/>
          <w:color w:val="333333"/>
          <w:kern w:val="0"/>
          <w:sz w:val="32"/>
          <w:szCs w:val="32"/>
          <w:shd w:val="clear" w:color="auto" w:fill="FFFFFF"/>
        </w:rPr>
        <w:t xml:space="preserve"> </w:t>
      </w:r>
      <w:r>
        <w:rPr>
          <w:rFonts w:ascii="Times New Roman" w:eastAsia="仿宋_GB2312" w:hAnsi="Times New Roman" w:hint="eastAsia"/>
          <w:color w:val="333333"/>
          <w:kern w:val="0"/>
          <w:sz w:val="32"/>
          <w:szCs w:val="32"/>
          <w:shd w:val="clear" w:color="auto" w:fill="FFFFFF"/>
        </w:rPr>
        <w:t>本办法自公布之日起实施。</w:t>
      </w:r>
    </w:p>
    <w:p w:rsidR="00104D85" w:rsidRDefault="00104D85" w:rsidP="003F2BF9">
      <w:pPr>
        <w:widowControl/>
        <w:shd w:val="clear" w:color="auto" w:fill="FFFFFF"/>
        <w:ind w:left="1920" w:hangingChars="600" w:hanging="192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附件</w:t>
      </w:r>
      <w:r>
        <w:rPr>
          <w:rFonts w:ascii="Times New Roman" w:eastAsia="仿宋_GB2312" w:hAnsi="Times New Roman"/>
          <w:color w:val="333333"/>
          <w:kern w:val="0"/>
          <w:sz w:val="32"/>
          <w:szCs w:val="32"/>
          <w:shd w:val="clear" w:color="auto" w:fill="FFFFFF"/>
        </w:rPr>
        <w:t>1</w:t>
      </w:r>
      <w:r>
        <w:rPr>
          <w:rFonts w:ascii="Times New Roman" w:eastAsia="仿宋_GB2312" w:hAnsi="Times New Roman" w:hint="eastAsia"/>
          <w:color w:val="333333"/>
          <w:kern w:val="0"/>
          <w:sz w:val="32"/>
          <w:szCs w:val="32"/>
          <w:shd w:val="clear" w:color="auto" w:fill="FFFFFF"/>
        </w:rPr>
        <w:t>：连续三个涨跌停板后平仓数量</w:t>
      </w:r>
      <w:bookmarkStart w:id="0" w:name="_GoBack"/>
      <w:bookmarkEnd w:id="0"/>
      <w:r>
        <w:rPr>
          <w:rFonts w:ascii="Times New Roman" w:eastAsia="仿宋_GB2312" w:hAnsi="Times New Roman" w:hint="eastAsia"/>
          <w:color w:val="333333"/>
          <w:kern w:val="0"/>
          <w:sz w:val="32"/>
          <w:szCs w:val="32"/>
          <w:shd w:val="clear" w:color="auto" w:fill="FFFFFF"/>
        </w:rPr>
        <w:t>的分配方法及步骤（略）</w:t>
      </w:r>
    </w:p>
    <w:p w:rsidR="00104D85" w:rsidRDefault="00104D85" w:rsidP="00104D85">
      <w:pPr>
        <w:widowControl/>
        <w:shd w:val="clear" w:color="auto" w:fill="FFFFFF"/>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shd w:val="clear" w:color="auto" w:fill="FFFFFF"/>
        </w:rPr>
        <w:t xml:space="preserve">　　附件</w:t>
      </w:r>
      <w:r>
        <w:rPr>
          <w:rFonts w:ascii="Times New Roman" w:eastAsia="仿宋_GB2312" w:hAnsi="Times New Roman"/>
          <w:color w:val="333333"/>
          <w:kern w:val="0"/>
          <w:sz w:val="32"/>
          <w:szCs w:val="32"/>
          <w:shd w:val="clear" w:color="auto" w:fill="FFFFFF"/>
        </w:rPr>
        <w:t>2</w:t>
      </w:r>
      <w:r>
        <w:rPr>
          <w:rFonts w:ascii="Times New Roman" w:eastAsia="仿宋_GB2312" w:hAnsi="Times New Roman" w:hint="eastAsia"/>
          <w:color w:val="333333"/>
          <w:kern w:val="0"/>
          <w:sz w:val="32"/>
          <w:szCs w:val="32"/>
          <w:shd w:val="clear" w:color="auto" w:fill="FFFFFF"/>
        </w:rPr>
        <w:t>：大连商品交易所非期货公司会员大户报告表（略）</w:t>
      </w:r>
    </w:p>
    <w:p w:rsidR="00D01A8C" w:rsidRPr="003F2BF9" w:rsidRDefault="00104D85" w:rsidP="003F2BF9">
      <w:pPr>
        <w:widowControl/>
        <w:shd w:val="clear" w:color="auto" w:fill="FFFFFF"/>
        <w:rPr>
          <w:rFonts w:ascii="Times New Roman" w:eastAsia="仿宋_GB2312" w:hAnsi="Times New Roman" w:hint="eastAsia"/>
          <w:color w:val="333333"/>
          <w:kern w:val="0"/>
          <w:sz w:val="32"/>
          <w:szCs w:val="32"/>
        </w:rPr>
      </w:pPr>
      <w:r>
        <w:rPr>
          <w:rFonts w:ascii="Times New Roman" w:eastAsia="仿宋_GB2312" w:hAnsi="Times New Roman" w:hint="eastAsia"/>
          <w:color w:val="333333"/>
          <w:kern w:val="0"/>
          <w:sz w:val="32"/>
          <w:szCs w:val="32"/>
          <w:shd w:val="clear" w:color="auto" w:fill="FFFFFF"/>
        </w:rPr>
        <w:t xml:space="preserve">　　附件</w:t>
      </w:r>
      <w:r>
        <w:rPr>
          <w:rFonts w:ascii="Times New Roman" w:eastAsia="仿宋_GB2312" w:hAnsi="Times New Roman"/>
          <w:color w:val="333333"/>
          <w:kern w:val="0"/>
          <w:sz w:val="32"/>
          <w:szCs w:val="32"/>
          <w:shd w:val="clear" w:color="auto" w:fill="FFFFFF"/>
        </w:rPr>
        <w:t>3</w:t>
      </w:r>
      <w:r>
        <w:rPr>
          <w:rFonts w:ascii="Times New Roman" w:eastAsia="仿宋_GB2312" w:hAnsi="Times New Roman" w:hint="eastAsia"/>
          <w:color w:val="333333"/>
          <w:kern w:val="0"/>
          <w:sz w:val="32"/>
          <w:szCs w:val="32"/>
          <w:shd w:val="clear" w:color="auto" w:fill="FFFFFF"/>
        </w:rPr>
        <w:t>：大连商品交易所客户大户报告表（略）</w:t>
      </w:r>
    </w:p>
    <w:sectPr w:rsidR="00D01A8C" w:rsidRPr="003F2BF9" w:rsidSect="003F2BF9">
      <w:footerReference w:type="default" r:id="rId6"/>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BF9" w:rsidRDefault="003F2BF9" w:rsidP="003F2BF9">
      <w:r>
        <w:separator/>
      </w:r>
    </w:p>
  </w:endnote>
  <w:endnote w:type="continuationSeparator" w:id="0">
    <w:p w:rsidR="003F2BF9" w:rsidRDefault="003F2BF9" w:rsidP="003F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26059"/>
      <w:docPartObj>
        <w:docPartGallery w:val="Page Numbers (Bottom of Page)"/>
        <w:docPartUnique/>
      </w:docPartObj>
    </w:sdtPr>
    <w:sdtContent>
      <w:p w:rsidR="003F2BF9" w:rsidRDefault="003F2BF9" w:rsidP="003F2BF9">
        <w:pPr>
          <w:pStyle w:val="a5"/>
          <w:jc w:val="center"/>
          <w:rPr>
            <w:rFonts w:hint="eastAsia"/>
          </w:rPr>
        </w:pPr>
        <w:r>
          <w:fldChar w:fldCharType="begin"/>
        </w:r>
        <w:r>
          <w:instrText>PAGE   \* MERGEFORMAT</w:instrText>
        </w:r>
        <w:r>
          <w:fldChar w:fldCharType="separate"/>
        </w:r>
        <w:r w:rsidRPr="003F2BF9">
          <w:rPr>
            <w:noProof/>
            <w:lang w:val="zh-CN"/>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BF9" w:rsidRDefault="003F2BF9" w:rsidP="003F2BF9">
      <w:r>
        <w:separator/>
      </w:r>
    </w:p>
  </w:footnote>
  <w:footnote w:type="continuationSeparator" w:id="0">
    <w:p w:rsidR="003F2BF9" w:rsidRDefault="003F2BF9" w:rsidP="003F2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85"/>
    <w:rsid w:val="00104D85"/>
    <w:rsid w:val="003F2BF9"/>
    <w:rsid w:val="00D01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8A5E6"/>
  <w15:chartTrackingRefBased/>
  <w15:docId w15:val="{E98160C7-9414-46B0-8B39-48FADD05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D85"/>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04D85"/>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a4"/>
    <w:uiPriority w:val="99"/>
    <w:unhideWhenUsed/>
    <w:rsid w:val="003F2B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2BF9"/>
    <w:rPr>
      <w:rFonts w:ascii="等线" w:eastAsia="等线" w:hAnsi="等线" w:cs="Times New Roman"/>
      <w:sz w:val="18"/>
      <w:szCs w:val="18"/>
    </w:rPr>
  </w:style>
  <w:style w:type="paragraph" w:styleId="a5">
    <w:name w:val="footer"/>
    <w:basedOn w:val="a"/>
    <w:link w:val="a6"/>
    <w:uiPriority w:val="99"/>
    <w:unhideWhenUsed/>
    <w:rsid w:val="003F2BF9"/>
    <w:pPr>
      <w:tabs>
        <w:tab w:val="center" w:pos="4153"/>
        <w:tab w:val="right" w:pos="8306"/>
      </w:tabs>
      <w:snapToGrid w:val="0"/>
      <w:jc w:val="left"/>
    </w:pPr>
    <w:rPr>
      <w:sz w:val="18"/>
      <w:szCs w:val="18"/>
    </w:rPr>
  </w:style>
  <w:style w:type="character" w:customStyle="1" w:styleId="a6">
    <w:name w:val="页脚 字符"/>
    <w:basedOn w:val="a0"/>
    <w:link w:val="a5"/>
    <w:uiPriority w:val="99"/>
    <w:rsid w:val="003F2BF9"/>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1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3574</Words>
  <Characters>10331</Characters>
  <Application>Microsoft Office Word</Application>
  <DocSecurity>0</DocSecurity>
  <Lines>430</Lines>
  <Paragraphs>227</Paragraphs>
  <ScaleCrop>false</ScaleCrop>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刘蕊</dc:creator>
  <cp:keywords/>
  <dc:description/>
  <cp:lastModifiedBy>王皓如</cp:lastModifiedBy>
  <cp:revision>2</cp:revision>
  <dcterms:created xsi:type="dcterms:W3CDTF">2020-12-07T02:07:00Z</dcterms:created>
  <dcterms:modified xsi:type="dcterms:W3CDTF">2020-12-07T03:17:00Z</dcterms:modified>
</cp:coreProperties>
</file>