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422" w:rsidRDefault="00A22E5C" w:rsidP="00EB0422">
      <w:pPr>
        <w:widowControl/>
        <w:jc w:val="left"/>
        <w:outlineLvl w:val="1"/>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3</w:t>
      </w:r>
    </w:p>
    <w:p w:rsidR="00A22E5C" w:rsidRPr="00EB0422" w:rsidRDefault="00A22E5C" w:rsidP="00EB0422">
      <w:pPr>
        <w:widowControl/>
        <w:jc w:val="left"/>
        <w:outlineLvl w:val="1"/>
        <w:rPr>
          <w:rFonts w:ascii="Times New Roman" w:eastAsia="黑体" w:hAnsi="Times New Roman" w:cs="Times New Roman"/>
          <w:sz w:val="32"/>
          <w:szCs w:val="32"/>
        </w:rPr>
      </w:pPr>
    </w:p>
    <w:p w:rsidR="00EB0422" w:rsidRPr="00EB0422" w:rsidRDefault="00EB0422" w:rsidP="00EB0422">
      <w:pPr>
        <w:widowControl/>
        <w:jc w:val="center"/>
        <w:outlineLvl w:val="1"/>
        <w:rPr>
          <w:rFonts w:ascii="Times New Roman" w:eastAsia="宋体" w:hAnsi="Times New Roman" w:cs="Times New Roman"/>
          <w:b/>
          <w:kern w:val="0"/>
          <w:sz w:val="44"/>
          <w:szCs w:val="44"/>
        </w:rPr>
      </w:pPr>
      <w:r w:rsidRPr="00EB0422">
        <w:rPr>
          <w:rFonts w:ascii="Times New Roman" w:eastAsia="宋体" w:hAnsi="Times New Roman" w:cs="Times New Roman"/>
          <w:b/>
          <w:kern w:val="0"/>
          <w:sz w:val="44"/>
          <w:szCs w:val="44"/>
        </w:rPr>
        <w:t>《大连商品交易所棕榈油期货业务细则》</w:t>
      </w:r>
    </w:p>
    <w:p w:rsidR="00EB0422" w:rsidRPr="00EB0422" w:rsidRDefault="00EB0422" w:rsidP="00EB0422">
      <w:pPr>
        <w:widowControl/>
        <w:jc w:val="center"/>
        <w:outlineLvl w:val="1"/>
        <w:rPr>
          <w:rFonts w:ascii="Times New Roman" w:eastAsia="宋体" w:hAnsi="Times New Roman" w:cs="Times New Roman"/>
          <w:b/>
          <w:kern w:val="0"/>
          <w:sz w:val="44"/>
          <w:szCs w:val="44"/>
        </w:rPr>
      </w:pPr>
      <w:r w:rsidRPr="00EB0422">
        <w:rPr>
          <w:rFonts w:ascii="Times New Roman" w:eastAsia="宋体" w:hAnsi="Times New Roman" w:cs="Times New Roman"/>
          <w:b/>
          <w:kern w:val="0"/>
          <w:sz w:val="44"/>
          <w:szCs w:val="44"/>
        </w:rPr>
        <w:t>修正案</w:t>
      </w:r>
    </w:p>
    <w:p w:rsidR="00EB0422" w:rsidRPr="00EB0422" w:rsidRDefault="00EB0422" w:rsidP="00EB0422">
      <w:pPr>
        <w:rPr>
          <w:rFonts w:ascii="Times New Roman" w:eastAsia="仿宋_GB2312" w:hAnsi="Times New Roman" w:cs="Times New Roman"/>
          <w:sz w:val="24"/>
        </w:rPr>
      </w:pPr>
    </w:p>
    <w:p w:rsidR="00EB0422" w:rsidRPr="00EB0422" w:rsidRDefault="00EB0422" w:rsidP="00EB0422">
      <w:pPr>
        <w:adjustRightInd w:val="0"/>
        <w:snapToGrid w:val="0"/>
        <w:spacing w:line="360" w:lineRule="auto"/>
        <w:ind w:firstLine="641"/>
        <w:rPr>
          <w:rFonts w:ascii="Times New Roman" w:eastAsia="仿宋_GB2312" w:hAnsi="Times New Roman" w:cs="Times New Roman"/>
          <w:sz w:val="32"/>
          <w:szCs w:val="32"/>
        </w:rPr>
      </w:pPr>
      <w:r w:rsidRPr="00EB0422">
        <w:rPr>
          <w:rFonts w:ascii="Times New Roman" w:eastAsia="仿宋_GB2312" w:hAnsi="Times New Roman" w:cs="Times New Roman"/>
          <w:sz w:val="32"/>
          <w:szCs w:val="32"/>
        </w:rPr>
        <w:t>第二条</w:t>
      </w:r>
      <w:r w:rsidRPr="00EB0422">
        <w:rPr>
          <w:rFonts w:ascii="Times New Roman" w:eastAsia="仿宋_GB2312" w:hAnsi="Times New Roman" w:cs="Times New Roman"/>
          <w:sz w:val="32"/>
          <w:szCs w:val="32"/>
        </w:rPr>
        <w:t xml:space="preserve"> </w:t>
      </w:r>
      <w:r w:rsidRPr="00EB0422">
        <w:rPr>
          <w:rFonts w:ascii="Times New Roman" w:eastAsia="仿宋_GB2312" w:hAnsi="Times New Roman" w:cs="Times New Roman"/>
          <w:sz w:val="32"/>
          <w:szCs w:val="32"/>
        </w:rPr>
        <w:t>交易所、会员、</w:t>
      </w:r>
      <w:r w:rsidRPr="00EB0422">
        <w:rPr>
          <w:rFonts w:ascii="Times New Roman" w:eastAsia="仿宋_GB2312" w:hAnsi="Times New Roman" w:cs="Times New Roman"/>
          <w:sz w:val="32"/>
          <w:szCs w:val="32"/>
          <w:shd w:val="pct10" w:color="auto" w:fill="FFFFFF"/>
        </w:rPr>
        <w:t>境外经纪机构、</w:t>
      </w:r>
      <w:r w:rsidRPr="00EB0422">
        <w:rPr>
          <w:rFonts w:ascii="Times New Roman" w:eastAsia="仿宋_GB2312" w:hAnsi="Times New Roman" w:cs="Times New Roman"/>
          <w:sz w:val="32"/>
          <w:szCs w:val="32"/>
        </w:rPr>
        <w:t>客户、指定交割仓库、指定质量检验机构、指定期货保证金存管银行及期货市场其他参与者应当遵守本细则。</w:t>
      </w:r>
    </w:p>
    <w:p w:rsidR="00EB0422" w:rsidRPr="00EB0422" w:rsidRDefault="00EB0422" w:rsidP="00EB0422">
      <w:pPr>
        <w:widowControl/>
        <w:spacing w:line="360" w:lineRule="auto"/>
        <w:ind w:firstLineChars="200" w:firstLine="640"/>
        <w:outlineLvl w:val="1"/>
        <w:rPr>
          <w:rFonts w:ascii="Times New Roman" w:eastAsia="仿宋_GB2312" w:hAnsi="Times New Roman" w:cs="Times New Roman"/>
          <w:sz w:val="32"/>
          <w:szCs w:val="32"/>
          <w:shd w:val="pct10" w:color="auto" w:fill="FFFFFF"/>
        </w:rPr>
      </w:pPr>
      <w:r w:rsidRPr="00EB0422">
        <w:rPr>
          <w:rFonts w:ascii="Times New Roman" w:eastAsia="仿宋_GB2312" w:hAnsi="Times New Roman" w:cs="Times New Roman"/>
          <w:sz w:val="32"/>
          <w:szCs w:val="32"/>
          <w:shd w:val="pct10" w:color="auto" w:fill="FFFFFF"/>
        </w:rPr>
        <w:t>第十七条</w:t>
      </w:r>
      <w:r w:rsidRPr="00EB0422">
        <w:rPr>
          <w:rFonts w:ascii="Times New Roman" w:eastAsia="仿宋_GB2312" w:hAnsi="Times New Roman" w:cs="Times New Roman"/>
          <w:sz w:val="32"/>
          <w:szCs w:val="32"/>
          <w:shd w:val="pct10" w:color="auto" w:fill="FFFFFF"/>
        </w:rPr>
        <w:t xml:space="preserve"> </w:t>
      </w:r>
      <w:r w:rsidRPr="00EB0422">
        <w:rPr>
          <w:rFonts w:ascii="Times New Roman" w:eastAsia="仿宋_GB2312" w:hAnsi="Times New Roman" w:cs="Times New Roman"/>
          <w:sz w:val="32"/>
          <w:szCs w:val="32"/>
          <w:shd w:val="pct10" w:color="auto" w:fill="FFFFFF"/>
        </w:rPr>
        <w:t>提出标准仓单</w:t>
      </w:r>
      <w:proofErr w:type="gramStart"/>
      <w:r w:rsidRPr="00EB0422">
        <w:rPr>
          <w:rFonts w:ascii="Times New Roman" w:eastAsia="仿宋_GB2312" w:hAnsi="Times New Roman" w:cs="Times New Roman"/>
          <w:sz w:val="32"/>
          <w:szCs w:val="32"/>
          <w:shd w:val="pct10" w:color="auto" w:fill="FFFFFF"/>
        </w:rPr>
        <w:t>期转现</w:t>
      </w:r>
      <w:proofErr w:type="gramEnd"/>
      <w:r w:rsidRPr="00EB0422">
        <w:rPr>
          <w:rFonts w:ascii="Times New Roman" w:eastAsia="仿宋_GB2312" w:hAnsi="Times New Roman" w:cs="Times New Roman"/>
          <w:sz w:val="32"/>
          <w:szCs w:val="32"/>
          <w:shd w:val="pct10" w:color="auto" w:fill="FFFFFF"/>
        </w:rPr>
        <w:t>申请的，交易双方除了按照《大连商品交易所交割管理办法》规定提交</w:t>
      </w:r>
      <w:proofErr w:type="gramStart"/>
      <w:r w:rsidRPr="00EB0422">
        <w:rPr>
          <w:rFonts w:ascii="Times New Roman" w:eastAsia="仿宋_GB2312" w:hAnsi="Times New Roman" w:cs="Times New Roman"/>
          <w:sz w:val="32"/>
          <w:szCs w:val="32"/>
          <w:shd w:val="pct10" w:color="auto" w:fill="FFFFFF"/>
        </w:rPr>
        <w:t>期转现相关</w:t>
      </w:r>
      <w:proofErr w:type="gramEnd"/>
      <w:r w:rsidRPr="00EB0422">
        <w:rPr>
          <w:rFonts w:ascii="Times New Roman" w:eastAsia="仿宋_GB2312" w:hAnsi="Times New Roman" w:cs="Times New Roman"/>
          <w:sz w:val="32"/>
          <w:szCs w:val="32"/>
          <w:shd w:val="pct10" w:color="auto" w:fill="FFFFFF"/>
        </w:rPr>
        <w:t>材料，还应当提交合法有效的能够接收或者开具增值税发票的资质证明。</w:t>
      </w:r>
    </w:p>
    <w:p w:rsidR="00EB0422" w:rsidRPr="00EB0422" w:rsidRDefault="00EB0422" w:rsidP="00EB0422">
      <w:pPr>
        <w:widowControl/>
        <w:spacing w:line="360" w:lineRule="auto"/>
        <w:ind w:firstLineChars="200" w:firstLine="640"/>
        <w:outlineLvl w:val="1"/>
        <w:rPr>
          <w:rFonts w:ascii="Times New Roman" w:eastAsia="仿宋_GB2312" w:hAnsi="Times New Roman" w:cs="Times New Roman"/>
          <w:sz w:val="32"/>
          <w:szCs w:val="32"/>
          <w:shd w:val="pct10" w:color="auto" w:fill="FFFFFF"/>
        </w:rPr>
      </w:pPr>
      <w:r w:rsidRPr="00EB0422">
        <w:rPr>
          <w:rFonts w:ascii="Times New Roman" w:eastAsia="仿宋_GB2312" w:hAnsi="Times New Roman" w:cs="Times New Roman"/>
          <w:sz w:val="32"/>
          <w:szCs w:val="32"/>
          <w:shd w:val="pct10" w:color="auto" w:fill="FFFFFF"/>
        </w:rPr>
        <w:t>参与一次性交割的，客户应当通过会员在</w:t>
      </w:r>
      <w:proofErr w:type="gramStart"/>
      <w:r w:rsidRPr="00EB0422">
        <w:rPr>
          <w:rFonts w:ascii="Times New Roman" w:eastAsia="仿宋_GB2312" w:hAnsi="Times New Roman" w:cs="Times New Roman"/>
          <w:sz w:val="32"/>
          <w:szCs w:val="32"/>
          <w:shd w:val="pct10" w:color="auto" w:fill="FFFFFF"/>
        </w:rPr>
        <w:t>交收日</w:t>
      </w:r>
      <w:proofErr w:type="gramEnd"/>
      <w:r w:rsidRPr="00EB0422">
        <w:rPr>
          <w:rFonts w:ascii="Times New Roman" w:eastAsia="仿宋_GB2312" w:hAnsi="Times New Roman" w:cs="Times New Roman"/>
          <w:sz w:val="32"/>
          <w:szCs w:val="32"/>
          <w:shd w:val="pct10" w:color="auto" w:fill="FFFFFF"/>
        </w:rPr>
        <w:t>14:30</w:t>
      </w:r>
      <w:r w:rsidRPr="00EB0422">
        <w:rPr>
          <w:rFonts w:ascii="Times New Roman" w:eastAsia="仿宋_GB2312" w:hAnsi="Times New Roman" w:cs="Times New Roman"/>
          <w:sz w:val="32"/>
          <w:szCs w:val="32"/>
          <w:shd w:val="pct10" w:color="auto" w:fill="FFFFFF"/>
        </w:rPr>
        <w:t>前向交易所提交合法有效的能够接收或者开具增值税发票的资质证明。未在规定时间内提交的，视为不具备接收或者开具增值税发票的资质，并按照《大连商品交易</w:t>
      </w:r>
      <w:bookmarkStart w:id="0" w:name="_GoBack"/>
      <w:bookmarkEnd w:id="0"/>
      <w:r w:rsidRPr="00EB0422">
        <w:rPr>
          <w:rFonts w:ascii="Times New Roman" w:eastAsia="仿宋_GB2312" w:hAnsi="Times New Roman" w:cs="Times New Roman"/>
          <w:sz w:val="32"/>
          <w:szCs w:val="32"/>
          <w:shd w:val="pct10" w:color="auto" w:fill="FFFFFF"/>
        </w:rPr>
        <w:t>所交割管理办法》相关规定处理。</w:t>
      </w:r>
    </w:p>
    <w:p w:rsidR="00EB0422" w:rsidRPr="00EB0422" w:rsidRDefault="00EB0422" w:rsidP="00EB0422">
      <w:pPr>
        <w:widowControl/>
        <w:spacing w:line="360" w:lineRule="auto"/>
        <w:ind w:firstLineChars="200" w:firstLine="480"/>
        <w:outlineLvl w:val="1"/>
        <w:rPr>
          <w:rFonts w:ascii="Times New Roman" w:eastAsia="仿宋_GB2312" w:hAnsi="Times New Roman" w:cs="Times New Roman"/>
          <w:sz w:val="24"/>
          <w:shd w:val="pct10" w:color="auto" w:fill="FFFFFF"/>
        </w:rPr>
      </w:pPr>
    </w:p>
    <w:p w:rsidR="00EB0422" w:rsidRPr="00EB0422" w:rsidRDefault="00EB0422" w:rsidP="00EB0422">
      <w:pPr>
        <w:widowControl/>
        <w:shd w:val="clear" w:color="auto" w:fill="FFFFFF"/>
        <w:spacing w:line="360" w:lineRule="auto"/>
        <w:ind w:firstLineChars="200" w:firstLine="480"/>
        <w:rPr>
          <w:rFonts w:ascii="Times New Roman" w:eastAsia="仿宋_GB2312" w:hAnsi="Times New Roman" w:cs="Times New Roman"/>
          <w:sz w:val="24"/>
          <w:szCs w:val="24"/>
        </w:rPr>
      </w:pPr>
      <w:r w:rsidRPr="00EB0422">
        <w:rPr>
          <w:rFonts w:ascii="Times New Roman" w:eastAsia="仿宋_GB2312" w:hAnsi="Times New Roman" w:cs="Times New Roman"/>
          <w:sz w:val="24"/>
          <w:szCs w:val="24"/>
        </w:rPr>
        <w:t>注：阴影部分为新增内容。出现条款增删的，其他条款依次顺延。</w:t>
      </w:r>
    </w:p>
    <w:p w:rsidR="005D66F4" w:rsidRPr="00EB0422" w:rsidRDefault="005D66F4">
      <w:pPr>
        <w:rPr>
          <w:rFonts w:hint="eastAsia"/>
        </w:rPr>
      </w:pPr>
    </w:p>
    <w:sectPr w:rsidR="005D66F4" w:rsidRPr="00EB0422" w:rsidSect="00A22E5C">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5C" w:rsidRDefault="00A22E5C" w:rsidP="00A22E5C">
      <w:r>
        <w:separator/>
      </w:r>
    </w:p>
  </w:endnote>
  <w:endnote w:type="continuationSeparator" w:id="0">
    <w:p w:rsidR="00A22E5C" w:rsidRDefault="00A22E5C" w:rsidP="00A2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171722"/>
      <w:docPartObj>
        <w:docPartGallery w:val="Page Numbers (Bottom of Page)"/>
        <w:docPartUnique/>
      </w:docPartObj>
    </w:sdtPr>
    <w:sdtContent>
      <w:p w:rsidR="00600262" w:rsidRDefault="00600262" w:rsidP="00600262">
        <w:pPr>
          <w:pStyle w:val="a5"/>
          <w:jc w:val="center"/>
          <w:rPr>
            <w:rFonts w:hint="eastAsia"/>
          </w:rPr>
        </w:pPr>
        <w:r>
          <w:fldChar w:fldCharType="begin"/>
        </w:r>
        <w:r>
          <w:instrText>PAGE   \* MERGEFORMAT</w:instrText>
        </w:r>
        <w:r>
          <w:fldChar w:fldCharType="separate"/>
        </w:r>
        <w:r w:rsidRPr="00600262">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5C" w:rsidRDefault="00A22E5C" w:rsidP="00A22E5C">
      <w:r>
        <w:separator/>
      </w:r>
    </w:p>
  </w:footnote>
  <w:footnote w:type="continuationSeparator" w:id="0">
    <w:p w:rsidR="00A22E5C" w:rsidRDefault="00A22E5C" w:rsidP="00A2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22"/>
    <w:rsid w:val="00023FFA"/>
    <w:rsid w:val="005D66F4"/>
    <w:rsid w:val="00600262"/>
    <w:rsid w:val="00A22E5C"/>
    <w:rsid w:val="00E942F3"/>
    <w:rsid w:val="00EB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B462C"/>
  <w15:chartTrackingRefBased/>
  <w15:docId w15:val="{36647E0D-E69E-4612-AB3D-2268DE5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2E5C"/>
    <w:rPr>
      <w:sz w:val="18"/>
      <w:szCs w:val="18"/>
    </w:rPr>
  </w:style>
  <w:style w:type="paragraph" w:styleId="a5">
    <w:name w:val="footer"/>
    <w:basedOn w:val="a"/>
    <w:link w:val="a6"/>
    <w:uiPriority w:val="99"/>
    <w:unhideWhenUsed/>
    <w:rsid w:val="00A22E5C"/>
    <w:pPr>
      <w:tabs>
        <w:tab w:val="center" w:pos="4153"/>
        <w:tab w:val="right" w:pos="8306"/>
      </w:tabs>
      <w:snapToGrid w:val="0"/>
      <w:jc w:val="left"/>
    </w:pPr>
    <w:rPr>
      <w:sz w:val="18"/>
      <w:szCs w:val="18"/>
    </w:rPr>
  </w:style>
  <w:style w:type="character" w:customStyle="1" w:styleId="a6">
    <w:name w:val="页脚 字符"/>
    <w:basedOn w:val="a0"/>
    <w:link w:val="a5"/>
    <w:uiPriority w:val="99"/>
    <w:rsid w:val="00A22E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5</cp:revision>
  <dcterms:created xsi:type="dcterms:W3CDTF">2020-11-25T06:36:00Z</dcterms:created>
  <dcterms:modified xsi:type="dcterms:W3CDTF">2020-11-25T07:28:00Z</dcterms:modified>
</cp:coreProperties>
</file>