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C3" w:rsidRDefault="00696DC3" w:rsidP="00696DC3">
      <w:pPr>
        <w:widowControl w:val="0"/>
        <w:ind w:firstLineChars="0" w:firstLine="0"/>
        <w:jc w:val="left"/>
        <w:rPr>
          <w:rFonts w:eastAsia="黑体"/>
          <w:szCs w:val="20"/>
        </w:rPr>
      </w:pPr>
      <w:r>
        <w:rPr>
          <w:rFonts w:eastAsia="黑体"/>
          <w:szCs w:val="20"/>
        </w:rPr>
        <w:t>附件</w:t>
      </w:r>
      <w:r>
        <w:rPr>
          <w:rFonts w:eastAsia="黑体"/>
          <w:szCs w:val="20"/>
        </w:rPr>
        <w:t>7</w:t>
      </w:r>
    </w:p>
    <w:p w:rsidR="00696DC3" w:rsidRDefault="00696DC3" w:rsidP="00696DC3">
      <w:pPr>
        <w:widowControl w:val="0"/>
        <w:ind w:firstLineChars="0" w:firstLine="0"/>
        <w:jc w:val="center"/>
        <w:rPr>
          <w:b/>
          <w:sz w:val="40"/>
          <w:szCs w:val="40"/>
        </w:rPr>
      </w:pPr>
    </w:p>
    <w:p w:rsidR="00696DC3" w:rsidRDefault="00696DC3" w:rsidP="00696DC3">
      <w:pPr>
        <w:pStyle w:val="a3"/>
        <w:rPr>
          <w:rFonts w:ascii="Times New Roman" w:hAnsi="Times New Roman" w:cs="Times New Roman"/>
          <w:sz w:val="44"/>
          <w:szCs w:val="44"/>
        </w:rPr>
      </w:pPr>
      <w:r>
        <w:rPr>
          <w:rFonts w:ascii="Times New Roman" w:hAnsi="Times New Roman" w:cs="Times New Roman"/>
          <w:sz w:val="44"/>
          <w:szCs w:val="44"/>
        </w:rPr>
        <w:t>豆油、棕榈油</w:t>
      </w:r>
      <w:proofErr w:type="gramStart"/>
      <w:r>
        <w:rPr>
          <w:rFonts w:ascii="Times New Roman" w:hAnsi="Times New Roman" w:cs="Times New Roman"/>
          <w:sz w:val="44"/>
          <w:szCs w:val="44"/>
        </w:rPr>
        <w:t>串换试点</w:t>
      </w:r>
      <w:bookmarkStart w:id="0" w:name="_GoBack"/>
      <w:bookmarkEnd w:id="0"/>
      <w:proofErr w:type="gramEnd"/>
      <w:r>
        <w:rPr>
          <w:rFonts w:ascii="Times New Roman" w:hAnsi="Times New Roman" w:cs="Times New Roman"/>
          <w:sz w:val="44"/>
          <w:szCs w:val="44"/>
        </w:rPr>
        <w:t>集团提供的串换价差计算方式</w:t>
      </w:r>
    </w:p>
    <w:p w:rsidR="00696DC3" w:rsidRDefault="00696DC3" w:rsidP="00696DC3">
      <w:pPr>
        <w:ind w:firstLine="640"/>
        <w:jc w:val="left"/>
        <w:rPr>
          <w:rFonts w:eastAsia="仿宋_GB2312"/>
          <w:szCs w:val="32"/>
        </w:rPr>
      </w:pPr>
    </w:p>
    <w:p w:rsidR="00696DC3" w:rsidRDefault="00696DC3" w:rsidP="00696DC3">
      <w:pPr>
        <w:ind w:firstLine="640"/>
        <w:jc w:val="left"/>
        <w:rPr>
          <w:rFonts w:eastAsia="仿宋_GB2312"/>
          <w:szCs w:val="32"/>
        </w:rPr>
      </w:pPr>
      <w:proofErr w:type="gramStart"/>
      <w:r>
        <w:rPr>
          <w:rFonts w:eastAsia="仿宋_GB2312"/>
          <w:szCs w:val="32"/>
        </w:rPr>
        <w:t>串换现</w:t>
      </w:r>
      <w:proofErr w:type="gramEnd"/>
      <w:r>
        <w:rPr>
          <w:rFonts w:eastAsia="仿宋_GB2312"/>
          <w:szCs w:val="32"/>
        </w:rPr>
        <w:t>货价差是串出地和串入地两个地点近期现货的价差。</w:t>
      </w:r>
    </w:p>
    <w:p w:rsidR="00696DC3" w:rsidRDefault="00696DC3" w:rsidP="00696DC3">
      <w:pPr>
        <w:ind w:firstLine="640"/>
        <w:rPr>
          <w:rFonts w:eastAsia="仿宋_GB2312"/>
          <w:szCs w:val="32"/>
        </w:rPr>
      </w:pPr>
      <w:r>
        <w:rPr>
          <w:rFonts w:eastAsia="仿宋_GB2312"/>
          <w:szCs w:val="32"/>
        </w:rPr>
        <w:t>交割月第</w:t>
      </w:r>
      <w:r>
        <w:rPr>
          <w:rFonts w:eastAsia="仿宋_GB2312"/>
          <w:szCs w:val="32"/>
        </w:rPr>
        <w:t>7</w:t>
      </w:r>
      <w:r>
        <w:rPr>
          <w:rFonts w:eastAsia="仿宋_GB2312"/>
          <w:szCs w:val="32"/>
        </w:rPr>
        <w:t>个交易日申请成功的串换价差</w:t>
      </w:r>
      <w:r>
        <w:rPr>
          <w:rFonts w:eastAsia="仿宋_GB2312"/>
          <w:szCs w:val="32"/>
        </w:rPr>
        <w:t>=</w:t>
      </w:r>
      <w:r>
        <w:rPr>
          <w:rFonts w:eastAsia="仿宋_GB2312"/>
          <w:szCs w:val="32"/>
        </w:rPr>
        <w:t>串换当月第</w:t>
      </w:r>
      <w:r>
        <w:rPr>
          <w:rFonts w:eastAsia="仿宋_GB2312"/>
          <w:szCs w:val="32"/>
        </w:rPr>
        <w:t>1</w:t>
      </w:r>
      <w:r>
        <w:rPr>
          <w:rFonts w:eastAsia="仿宋_GB2312"/>
          <w:szCs w:val="32"/>
        </w:rPr>
        <w:t>个交易日至第</w:t>
      </w:r>
      <w:r>
        <w:rPr>
          <w:rFonts w:eastAsia="仿宋_GB2312"/>
          <w:szCs w:val="32"/>
        </w:rPr>
        <w:t>5</w:t>
      </w:r>
      <w:r>
        <w:rPr>
          <w:rFonts w:eastAsia="仿宋_GB2312"/>
          <w:szCs w:val="32"/>
        </w:rPr>
        <w:t>个交易日共</w:t>
      </w:r>
      <w:r>
        <w:rPr>
          <w:rFonts w:eastAsia="仿宋_GB2312"/>
          <w:szCs w:val="32"/>
        </w:rPr>
        <w:t>5</w:t>
      </w:r>
      <w:r>
        <w:rPr>
          <w:rFonts w:eastAsia="仿宋_GB2312"/>
          <w:szCs w:val="32"/>
        </w:rPr>
        <w:t>个交易日的两地价差算术平均价，计算结果四舍五入，保留到整数位。</w:t>
      </w:r>
    </w:p>
    <w:p w:rsidR="00696DC3" w:rsidRDefault="00696DC3" w:rsidP="00696DC3">
      <w:pPr>
        <w:ind w:firstLine="640"/>
        <w:rPr>
          <w:rFonts w:eastAsia="仿宋_GB2312"/>
          <w:szCs w:val="32"/>
        </w:rPr>
      </w:pPr>
      <w:r>
        <w:rPr>
          <w:rFonts w:eastAsia="仿宋_GB2312"/>
          <w:szCs w:val="32"/>
        </w:rPr>
        <w:t>最后交割日后的第一天申请成功的串换价差</w:t>
      </w:r>
      <w:r>
        <w:rPr>
          <w:rFonts w:eastAsia="仿宋_GB2312"/>
          <w:szCs w:val="32"/>
        </w:rPr>
        <w:t>=</w:t>
      </w:r>
      <w:r>
        <w:rPr>
          <w:rFonts w:eastAsia="仿宋_GB2312"/>
          <w:szCs w:val="32"/>
        </w:rPr>
        <w:t>串换当月第</w:t>
      </w:r>
      <w:r>
        <w:rPr>
          <w:rFonts w:eastAsia="仿宋_GB2312"/>
          <w:szCs w:val="32"/>
        </w:rPr>
        <w:t>8</w:t>
      </w:r>
      <w:r>
        <w:rPr>
          <w:rFonts w:eastAsia="仿宋_GB2312"/>
          <w:szCs w:val="32"/>
        </w:rPr>
        <w:t>个交易日至第</w:t>
      </w:r>
      <w:r>
        <w:rPr>
          <w:rFonts w:eastAsia="仿宋_GB2312"/>
          <w:szCs w:val="32"/>
        </w:rPr>
        <w:t>12</w:t>
      </w:r>
      <w:r>
        <w:rPr>
          <w:rFonts w:eastAsia="仿宋_GB2312"/>
          <w:szCs w:val="32"/>
        </w:rPr>
        <w:t>个交易日共</w:t>
      </w:r>
      <w:r>
        <w:rPr>
          <w:rFonts w:eastAsia="仿宋_GB2312"/>
          <w:szCs w:val="32"/>
        </w:rPr>
        <w:t>5</w:t>
      </w:r>
      <w:r>
        <w:rPr>
          <w:rFonts w:eastAsia="仿宋_GB2312"/>
          <w:szCs w:val="32"/>
        </w:rPr>
        <w:t>个交易日的两地价差算术平均价，计算结果四舍五入，保留到整数位。</w:t>
      </w:r>
    </w:p>
    <w:p w:rsidR="00696DC3" w:rsidRDefault="00696DC3" w:rsidP="00696DC3">
      <w:pPr>
        <w:ind w:firstLine="640"/>
        <w:jc w:val="left"/>
        <w:rPr>
          <w:rFonts w:eastAsia="仿宋_GB2312"/>
          <w:szCs w:val="32"/>
        </w:rPr>
      </w:pPr>
      <w:r>
        <w:rPr>
          <w:rFonts w:eastAsia="仿宋_GB2312"/>
          <w:szCs w:val="32"/>
        </w:rPr>
        <w:t>第一，串换地点的</w:t>
      </w:r>
      <w:r>
        <w:rPr>
          <w:rFonts w:eastAsia="仿宋_GB2312"/>
          <w:bCs/>
          <w:szCs w:val="32"/>
        </w:rPr>
        <w:t>现货价格由</w:t>
      </w:r>
      <w:r>
        <w:rPr>
          <w:rFonts w:eastAsia="仿宋_GB2312"/>
          <w:szCs w:val="32"/>
        </w:rPr>
        <w:t>串换库申报价格和第三方网站报价共同组成。</w:t>
      </w:r>
    </w:p>
    <w:p w:rsidR="00696DC3" w:rsidRDefault="00696DC3" w:rsidP="00696DC3">
      <w:pPr>
        <w:ind w:firstLine="643"/>
        <w:jc w:val="left"/>
        <w:rPr>
          <w:rFonts w:eastAsia="仿宋_GB2312"/>
          <w:szCs w:val="32"/>
        </w:rPr>
      </w:pPr>
      <w:r>
        <w:rPr>
          <w:rFonts w:eastAsia="仿宋_GB2312"/>
          <w:b/>
          <w:bCs/>
          <w:szCs w:val="32"/>
        </w:rPr>
        <w:t>串换库申报价格：</w:t>
      </w:r>
      <w:r>
        <w:rPr>
          <w:rFonts w:eastAsia="仿宋_GB2312"/>
          <w:bCs/>
          <w:szCs w:val="32"/>
        </w:rPr>
        <w:t>串换集团需在交割月第</w:t>
      </w:r>
      <w:r>
        <w:rPr>
          <w:rFonts w:eastAsia="仿宋_GB2312"/>
          <w:bCs/>
          <w:szCs w:val="32"/>
        </w:rPr>
        <w:t>1</w:t>
      </w:r>
      <w:r>
        <w:rPr>
          <w:rFonts w:eastAsia="仿宋_GB2312"/>
          <w:bCs/>
          <w:szCs w:val="32"/>
        </w:rPr>
        <w:t>至第</w:t>
      </w:r>
      <w:r>
        <w:rPr>
          <w:rFonts w:eastAsia="仿宋_GB2312"/>
          <w:bCs/>
          <w:szCs w:val="32"/>
        </w:rPr>
        <w:t>5</w:t>
      </w:r>
      <w:r>
        <w:rPr>
          <w:rFonts w:eastAsia="仿宋_GB2312"/>
          <w:bCs/>
          <w:szCs w:val="32"/>
        </w:rPr>
        <w:t>个交易日和最后交割日的前</w:t>
      </w:r>
      <w:r>
        <w:rPr>
          <w:rFonts w:eastAsia="仿宋_GB2312"/>
          <w:bCs/>
          <w:szCs w:val="32"/>
        </w:rPr>
        <w:t>5</w:t>
      </w:r>
      <w:r>
        <w:rPr>
          <w:rFonts w:eastAsia="仿宋_GB2312"/>
          <w:bCs/>
          <w:szCs w:val="32"/>
        </w:rPr>
        <w:t>个交易日，每日向交易所提交相关串换库的一级豆油和</w:t>
      </w:r>
      <w:r>
        <w:rPr>
          <w:rFonts w:eastAsia="仿宋_GB2312"/>
          <w:bCs/>
          <w:szCs w:val="32"/>
        </w:rPr>
        <w:t>24</w:t>
      </w:r>
      <w:r>
        <w:rPr>
          <w:rFonts w:eastAsia="仿宋_GB2312"/>
          <w:bCs/>
          <w:szCs w:val="32"/>
        </w:rPr>
        <w:t>度棕榈油现货成交价格。</w:t>
      </w:r>
      <w:r>
        <w:rPr>
          <w:rFonts w:eastAsia="仿宋_GB2312"/>
          <w:b/>
          <w:bCs/>
          <w:szCs w:val="32"/>
        </w:rPr>
        <w:t>第三方网站价格：</w:t>
      </w:r>
      <w:r>
        <w:rPr>
          <w:rFonts w:eastAsia="仿宋_GB2312"/>
          <w:szCs w:val="32"/>
        </w:rPr>
        <w:t>为保证价格的公正性，第三方网站价格按照当天某地报价的平均价计算</w:t>
      </w:r>
      <w:r>
        <w:rPr>
          <w:rFonts w:eastAsia="仿宋_GB2312"/>
          <w:szCs w:val="32"/>
        </w:rPr>
        <w:t>,</w:t>
      </w:r>
      <w:r>
        <w:rPr>
          <w:rFonts w:eastAsia="仿宋_GB2312"/>
          <w:szCs w:val="32"/>
        </w:rPr>
        <w:t>其中豆油采用一级豆油成交价</w:t>
      </w:r>
      <w:r>
        <w:rPr>
          <w:rFonts w:eastAsia="仿宋_GB2312"/>
          <w:szCs w:val="32"/>
        </w:rPr>
        <w:t>,</w:t>
      </w:r>
      <w:r>
        <w:rPr>
          <w:rFonts w:eastAsia="仿宋_GB2312"/>
          <w:szCs w:val="32"/>
        </w:rPr>
        <w:t>棕榈</w:t>
      </w:r>
      <w:proofErr w:type="gramStart"/>
      <w:r>
        <w:rPr>
          <w:rFonts w:eastAsia="仿宋_GB2312"/>
          <w:szCs w:val="32"/>
        </w:rPr>
        <w:t>油采</w:t>
      </w:r>
      <w:proofErr w:type="gramEnd"/>
      <w:r>
        <w:rPr>
          <w:rFonts w:eastAsia="仿宋_GB2312"/>
          <w:szCs w:val="32"/>
        </w:rPr>
        <w:t>用</w:t>
      </w:r>
      <w:r>
        <w:rPr>
          <w:rFonts w:eastAsia="仿宋_GB2312"/>
          <w:szCs w:val="32"/>
        </w:rPr>
        <w:t>24</w:t>
      </w:r>
      <w:r>
        <w:rPr>
          <w:rFonts w:eastAsia="仿宋_GB2312"/>
          <w:szCs w:val="32"/>
        </w:rPr>
        <w:t>度棕榈油成交价。如果某串换库在第三方网站上也有报价，则该</w:t>
      </w:r>
      <w:r>
        <w:rPr>
          <w:rFonts w:eastAsia="仿宋_GB2312"/>
          <w:szCs w:val="32"/>
        </w:rPr>
        <w:lastRenderedPageBreak/>
        <w:t>串换库的网站报价仍然参与网站价格计算。网站价格的平均价作为一个价格采集样本。</w:t>
      </w:r>
    </w:p>
    <w:p w:rsidR="00696DC3" w:rsidRDefault="00696DC3" w:rsidP="00696DC3">
      <w:pPr>
        <w:ind w:firstLine="640"/>
        <w:rPr>
          <w:rFonts w:eastAsia="仿宋_GB2312"/>
          <w:szCs w:val="32"/>
        </w:rPr>
      </w:pPr>
      <w:r>
        <w:rPr>
          <w:rFonts w:eastAsia="仿宋_GB2312"/>
          <w:szCs w:val="32"/>
        </w:rPr>
        <w:t>第三方网站目前采用天下粮仓网站（</w:t>
      </w:r>
      <w:r>
        <w:rPr>
          <w:rFonts w:eastAsia="仿宋_GB2312"/>
          <w:szCs w:val="32"/>
        </w:rPr>
        <w:t>http://www.cofeed.com/</w:t>
      </w:r>
      <w:r>
        <w:rPr>
          <w:rFonts w:eastAsia="仿宋_GB2312"/>
          <w:szCs w:val="32"/>
        </w:rPr>
        <w:t>）、大豆网（</w:t>
      </w:r>
      <w:r>
        <w:rPr>
          <w:rFonts w:eastAsia="仿宋_GB2312"/>
          <w:szCs w:val="32"/>
        </w:rPr>
        <w:t>http://www.dadou.cn/</w:t>
      </w:r>
      <w:r>
        <w:rPr>
          <w:rFonts w:eastAsia="仿宋_GB2312"/>
          <w:szCs w:val="32"/>
        </w:rPr>
        <w:t>）、</w:t>
      </w:r>
      <w:proofErr w:type="gramStart"/>
      <w:r>
        <w:rPr>
          <w:rFonts w:eastAsia="仿宋_GB2312"/>
          <w:szCs w:val="32"/>
        </w:rPr>
        <w:t>卓创资讯</w:t>
      </w:r>
      <w:proofErr w:type="gramEnd"/>
      <w:r>
        <w:rPr>
          <w:rFonts w:eastAsia="仿宋_GB2312"/>
          <w:szCs w:val="32"/>
        </w:rPr>
        <w:t>网站（</w:t>
      </w:r>
      <w:r>
        <w:rPr>
          <w:rFonts w:eastAsia="仿宋_GB2312"/>
          <w:szCs w:val="32"/>
        </w:rPr>
        <w:t>http://agri.sci99.com/</w:t>
      </w:r>
      <w:r>
        <w:rPr>
          <w:rFonts w:eastAsia="仿宋_GB2312"/>
          <w:szCs w:val="32"/>
        </w:rPr>
        <w:t>）和</w:t>
      </w:r>
      <w:proofErr w:type="gramStart"/>
      <w:r>
        <w:rPr>
          <w:rFonts w:eastAsia="仿宋_GB2312"/>
          <w:szCs w:val="32"/>
        </w:rPr>
        <w:t>邦</w:t>
      </w:r>
      <w:proofErr w:type="gramEnd"/>
      <w:r>
        <w:rPr>
          <w:rFonts w:eastAsia="仿宋_GB2312"/>
          <w:szCs w:val="32"/>
        </w:rPr>
        <w:t>成粮油在线（</w:t>
      </w:r>
      <w:r>
        <w:rPr>
          <w:rFonts w:eastAsia="仿宋_GB2312"/>
          <w:szCs w:val="32"/>
        </w:rPr>
        <w:t>http://www.epansun.com</w:t>
      </w:r>
      <w:r>
        <w:rPr>
          <w:rFonts w:eastAsia="仿宋_GB2312"/>
          <w:szCs w:val="32"/>
        </w:rPr>
        <w:t>），随着串换业务的开展，交易所将根据业务需要增加</w:t>
      </w:r>
      <w:proofErr w:type="gramStart"/>
      <w:r>
        <w:rPr>
          <w:rFonts w:eastAsia="仿宋_GB2312"/>
          <w:szCs w:val="32"/>
        </w:rPr>
        <w:t>其他第三</w:t>
      </w:r>
      <w:proofErr w:type="gramEnd"/>
      <w:r>
        <w:rPr>
          <w:rFonts w:eastAsia="仿宋_GB2312"/>
          <w:szCs w:val="32"/>
        </w:rPr>
        <w:t>方报价机构。第三方报价机构详细信息及价格采集标准会以通知形式公布在大连商品交易所网站上。自交易所公布该第三方报价机构信息之日起下一个月的串换业务中，正式采用新公布的第三方报价机构的报价计算现货价格。</w:t>
      </w:r>
      <w:r>
        <w:rPr>
          <w:rFonts w:eastAsia="仿宋_GB2312"/>
          <w:szCs w:val="32"/>
        </w:rPr>
        <w:t xml:space="preserve"> </w:t>
      </w:r>
    </w:p>
    <w:p w:rsidR="00696DC3" w:rsidRDefault="00696DC3" w:rsidP="00696DC3">
      <w:pPr>
        <w:ind w:firstLine="640"/>
        <w:jc w:val="left"/>
        <w:rPr>
          <w:rFonts w:eastAsia="仿宋_GB2312"/>
          <w:szCs w:val="32"/>
        </w:rPr>
      </w:pPr>
      <w:r>
        <w:rPr>
          <w:rFonts w:eastAsia="仿宋_GB2312"/>
          <w:szCs w:val="32"/>
        </w:rPr>
        <w:t>第二，串换区域的现货价格计算方式</w:t>
      </w:r>
    </w:p>
    <w:p w:rsidR="00696DC3" w:rsidRDefault="00696DC3" w:rsidP="00696DC3">
      <w:pPr>
        <w:ind w:firstLine="640"/>
        <w:jc w:val="left"/>
        <w:rPr>
          <w:rFonts w:eastAsia="仿宋_GB2312"/>
          <w:szCs w:val="32"/>
        </w:rPr>
      </w:pPr>
      <w:r>
        <w:rPr>
          <w:rFonts w:eastAsia="仿宋_GB2312"/>
          <w:bCs/>
          <w:szCs w:val="32"/>
        </w:rPr>
        <w:t>某串换区域的现货价格</w:t>
      </w:r>
      <w:r>
        <w:rPr>
          <w:rFonts w:eastAsia="仿宋_GB2312"/>
          <w:szCs w:val="32"/>
        </w:rPr>
        <w:t>=</w:t>
      </w:r>
      <w:r>
        <w:rPr>
          <w:rFonts w:eastAsia="仿宋_GB2312"/>
          <w:szCs w:val="32"/>
        </w:rPr>
        <w:t>（</w:t>
      </w:r>
      <w:r>
        <w:rPr>
          <w:rFonts w:eastAsia="仿宋_GB2312"/>
          <w:szCs w:val="32"/>
        </w:rPr>
        <w:t>∑</w:t>
      </w:r>
      <w:r>
        <w:rPr>
          <w:rFonts w:eastAsia="仿宋_GB2312"/>
          <w:szCs w:val="32"/>
        </w:rPr>
        <w:t>区域内串换库申报价格</w:t>
      </w:r>
      <w:r>
        <w:rPr>
          <w:rFonts w:eastAsia="仿宋_GB2312"/>
          <w:szCs w:val="32"/>
        </w:rPr>
        <w:t>+∑</w:t>
      </w:r>
      <w:r>
        <w:rPr>
          <w:rFonts w:eastAsia="仿宋_GB2312"/>
          <w:szCs w:val="32"/>
        </w:rPr>
        <w:t>网站</w:t>
      </w:r>
      <w:proofErr w:type="gramStart"/>
      <w:r>
        <w:rPr>
          <w:rFonts w:eastAsia="仿宋_GB2312"/>
          <w:szCs w:val="32"/>
        </w:rPr>
        <w:t>上区域</w:t>
      </w:r>
      <w:proofErr w:type="gramEnd"/>
      <w:r>
        <w:rPr>
          <w:rFonts w:eastAsia="仿宋_GB2312"/>
          <w:szCs w:val="32"/>
        </w:rPr>
        <w:t>内企业报价平均价）</w:t>
      </w:r>
      <w:r>
        <w:rPr>
          <w:rFonts w:eastAsia="仿宋_GB2312"/>
          <w:szCs w:val="32"/>
        </w:rPr>
        <w:t>/</w:t>
      </w:r>
      <w:r>
        <w:rPr>
          <w:rFonts w:eastAsia="仿宋_GB2312"/>
          <w:szCs w:val="32"/>
        </w:rPr>
        <w:t>（区域内串换</w:t>
      </w:r>
      <w:proofErr w:type="gramStart"/>
      <w:r>
        <w:rPr>
          <w:rFonts w:eastAsia="仿宋_GB2312"/>
          <w:szCs w:val="32"/>
        </w:rPr>
        <w:t>库数量</w:t>
      </w:r>
      <w:proofErr w:type="gramEnd"/>
      <w:r>
        <w:rPr>
          <w:rFonts w:eastAsia="仿宋_GB2312"/>
          <w:szCs w:val="32"/>
        </w:rPr>
        <w:t>+</w:t>
      </w:r>
      <w:r>
        <w:rPr>
          <w:rFonts w:eastAsia="仿宋_GB2312"/>
          <w:szCs w:val="32"/>
        </w:rPr>
        <w:t>第三方网站数量）</w:t>
      </w:r>
    </w:p>
    <w:p w:rsidR="00696DC3" w:rsidRDefault="00696DC3" w:rsidP="00696DC3">
      <w:pPr>
        <w:ind w:firstLine="640"/>
        <w:jc w:val="left"/>
        <w:rPr>
          <w:rFonts w:eastAsia="仿宋_GB2312"/>
          <w:bCs/>
          <w:szCs w:val="32"/>
        </w:rPr>
      </w:pPr>
      <w:r>
        <w:rPr>
          <w:rFonts w:eastAsia="仿宋_GB2312"/>
          <w:bCs/>
          <w:szCs w:val="32"/>
        </w:rPr>
        <w:t>第三，两地串换价差计算公式</w:t>
      </w:r>
    </w:p>
    <w:p w:rsidR="00696DC3" w:rsidRDefault="00696DC3" w:rsidP="00696DC3">
      <w:pPr>
        <w:ind w:firstLine="640"/>
        <w:jc w:val="left"/>
        <w:rPr>
          <w:rFonts w:eastAsia="仿宋_GB2312"/>
          <w:szCs w:val="32"/>
        </w:rPr>
      </w:pPr>
      <w:proofErr w:type="gramStart"/>
      <w:r>
        <w:rPr>
          <w:rFonts w:eastAsia="仿宋_GB2312"/>
          <w:bCs/>
          <w:szCs w:val="32"/>
        </w:rPr>
        <w:t>串换现</w:t>
      </w:r>
      <w:proofErr w:type="gramEnd"/>
      <w:r>
        <w:rPr>
          <w:rFonts w:eastAsia="仿宋_GB2312"/>
          <w:bCs/>
          <w:szCs w:val="32"/>
        </w:rPr>
        <w:t>货价差</w:t>
      </w:r>
      <w:r>
        <w:rPr>
          <w:rFonts w:eastAsia="仿宋_GB2312"/>
          <w:szCs w:val="32"/>
        </w:rPr>
        <w:t>=</w:t>
      </w:r>
      <w:r>
        <w:rPr>
          <w:rFonts w:eastAsia="仿宋_GB2312"/>
          <w:szCs w:val="32"/>
        </w:rPr>
        <w:t>串</w:t>
      </w:r>
      <w:proofErr w:type="gramStart"/>
      <w:r>
        <w:rPr>
          <w:rFonts w:eastAsia="仿宋_GB2312"/>
          <w:szCs w:val="32"/>
        </w:rPr>
        <w:t>入区域</w:t>
      </w:r>
      <w:proofErr w:type="gramEnd"/>
      <w:r>
        <w:rPr>
          <w:rFonts w:eastAsia="仿宋_GB2312"/>
          <w:szCs w:val="32"/>
        </w:rPr>
        <w:t>现货价格</w:t>
      </w:r>
      <w:r>
        <w:rPr>
          <w:rFonts w:eastAsia="仿宋_GB2312"/>
          <w:szCs w:val="32"/>
        </w:rPr>
        <w:t>-</w:t>
      </w:r>
      <w:r>
        <w:rPr>
          <w:rFonts w:eastAsia="仿宋_GB2312"/>
          <w:szCs w:val="32"/>
        </w:rPr>
        <w:t>串出区域现货价格</w:t>
      </w:r>
    </w:p>
    <w:p w:rsidR="00696DC3" w:rsidRDefault="00696DC3" w:rsidP="00696DC3">
      <w:pPr>
        <w:ind w:firstLine="640"/>
        <w:rPr>
          <w:rFonts w:eastAsia="仿宋_GB2312"/>
          <w:szCs w:val="32"/>
        </w:rPr>
      </w:pPr>
      <w:r>
        <w:rPr>
          <w:rFonts w:eastAsia="仿宋_GB2312"/>
          <w:szCs w:val="32"/>
        </w:rPr>
        <w:t>第四，串换地点共分为</w:t>
      </w:r>
      <w:r>
        <w:rPr>
          <w:rFonts w:eastAsia="仿宋_GB2312"/>
          <w:szCs w:val="32"/>
        </w:rPr>
        <w:t>4</w:t>
      </w:r>
      <w:r>
        <w:rPr>
          <w:rFonts w:eastAsia="仿宋_GB2312"/>
          <w:szCs w:val="32"/>
        </w:rPr>
        <w:t>个区域，包括：</w:t>
      </w:r>
    </w:p>
    <w:p w:rsidR="00696DC3" w:rsidRDefault="00696DC3" w:rsidP="00696DC3">
      <w:pPr>
        <w:ind w:firstLine="640"/>
        <w:jc w:val="left"/>
        <w:rPr>
          <w:rFonts w:eastAsia="仿宋_GB2312"/>
          <w:szCs w:val="32"/>
        </w:rPr>
      </w:pPr>
      <w:r>
        <w:rPr>
          <w:rFonts w:eastAsia="仿宋_GB2312"/>
          <w:szCs w:val="32"/>
        </w:rPr>
        <w:t>广东地区（东莞、广州、黄埔港）、江浙沪地区（张家港、南通、泰州、镇江、上海）、日照连云港地区、天津河北地区。</w:t>
      </w:r>
    </w:p>
    <w:p w:rsidR="00696DC3" w:rsidRDefault="00696DC3" w:rsidP="00696DC3">
      <w:pPr>
        <w:ind w:firstLine="640"/>
        <w:jc w:val="left"/>
        <w:rPr>
          <w:rFonts w:eastAsia="仿宋_GB2312"/>
          <w:szCs w:val="32"/>
        </w:rPr>
      </w:pPr>
    </w:p>
    <w:p w:rsidR="00586254" w:rsidRPr="00696DC3" w:rsidRDefault="00586254">
      <w:pPr>
        <w:ind w:firstLine="640"/>
      </w:pPr>
    </w:p>
    <w:sectPr w:rsidR="00586254" w:rsidRPr="00696DC3" w:rsidSect="004552C2">
      <w:headerReference w:type="even" r:id="rId6"/>
      <w:headerReference w:type="default" r:id="rId7"/>
      <w:footerReference w:type="even" r:id="rId8"/>
      <w:footerReference w:type="default" r:id="rId9"/>
      <w:headerReference w:type="first" r:id="rId10"/>
      <w:footerReference w:type="first" r:id="rId11"/>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66" w:rsidRDefault="006C5F66" w:rsidP="006C5F66">
      <w:pPr>
        <w:spacing w:line="240" w:lineRule="auto"/>
        <w:ind w:firstLine="640"/>
      </w:pPr>
      <w:r>
        <w:separator/>
      </w:r>
    </w:p>
  </w:endnote>
  <w:endnote w:type="continuationSeparator" w:id="0">
    <w:p w:rsidR="006C5F66" w:rsidRDefault="006C5F66" w:rsidP="006C5F6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66" w:rsidRDefault="006C5F6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763306"/>
      <w:docPartObj>
        <w:docPartGallery w:val="Page Numbers (Bottom of Page)"/>
        <w:docPartUnique/>
      </w:docPartObj>
    </w:sdtPr>
    <w:sdtEndPr/>
    <w:sdtContent>
      <w:p w:rsidR="006C5F66" w:rsidRDefault="006C5F66">
        <w:pPr>
          <w:pStyle w:val="a6"/>
          <w:ind w:firstLine="360"/>
          <w:jc w:val="center"/>
        </w:pPr>
        <w:r>
          <w:fldChar w:fldCharType="begin"/>
        </w:r>
        <w:r>
          <w:instrText>PAGE   \* MERGEFORMAT</w:instrText>
        </w:r>
        <w:r>
          <w:fldChar w:fldCharType="separate"/>
        </w:r>
        <w:r w:rsidR="004552C2" w:rsidRPr="004552C2">
          <w:rPr>
            <w:noProof/>
            <w:lang w:val="zh-CN"/>
          </w:rPr>
          <w:t>2</w:t>
        </w:r>
        <w:r>
          <w:fldChar w:fldCharType="end"/>
        </w:r>
      </w:p>
    </w:sdtContent>
  </w:sdt>
  <w:p w:rsidR="006C5F66" w:rsidRDefault="006C5F66">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66" w:rsidRDefault="006C5F6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66" w:rsidRDefault="006C5F66" w:rsidP="006C5F66">
      <w:pPr>
        <w:spacing w:line="240" w:lineRule="auto"/>
        <w:ind w:firstLine="640"/>
      </w:pPr>
      <w:r>
        <w:separator/>
      </w:r>
    </w:p>
  </w:footnote>
  <w:footnote w:type="continuationSeparator" w:id="0">
    <w:p w:rsidR="006C5F66" w:rsidRDefault="006C5F66" w:rsidP="006C5F6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66" w:rsidRDefault="006C5F6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66" w:rsidRDefault="006C5F66" w:rsidP="004552C2">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66" w:rsidRDefault="006C5F6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3"/>
    <w:rsid w:val="004552C2"/>
    <w:rsid w:val="00586254"/>
    <w:rsid w:val="00696DC3"/>
    <w:rsid w:val="006C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3537B5-4624-4CE6-845D-BC614A74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C3"/>
    <w:pPr>
      <w:adjustRightInd w:val="0"/>
      <w:snapToGrid w:val="0"/>
      <w:spacing w:line="580" w:lineRule="exact"/>
      <w:ind w:firstLineChars="200" w:firstLine="20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交易所标题"/>
    <w:basedOn w:val="a"/>
    <w:qFormat/>
    <w:rsid w:val="00696DC3"/>
    <w:pPr>
      <w:widowControl w:val="0"/>
      <w:spacing w:line="240" w:lineRule="auto"/>
      <w:ind w:firstLineChars="0" w:firstLine="0"/>
      <w:jc w:val="center"/>
      <w:outlineLvl w:val="0"/>
    </w:pPr>
    <w:rPr>
      <w:rFonts w:ascii="宋体" w:hAnsi="宋体" w:cs="黑体"/>
      <w:b/>
      <w:sz w:val="40"/>
      <w:szCs w:val="40"/>
    </w:rPr>
  </w:style>
  <w:style w:type="paragraph" w:styleId="a4">
    <w:name w:val="header"/>
    <w:basedOn w:val="a"/>
    <w:link w:val="a5"/>
    <w:uiPriority w:val="99"/>
    <w:unhideWhenUsed/>
    <w:rsid w:val="006C5F66"/>
    <w:pPr>
      <w:pBdr>
        <w:bottom w:val="single" w:sz="6" w:space="1" w:color="auto"/>
      </w:pBdr>
      <w:tabs>
        <w:tab w:val="center" w:pos="4153"/>
        <w:tab w:val="right" w:pos="8306"/>
      </w:tabs>
      <w:spacing w:line="240" w:lineRule="atLeast"/>
      <w:jc w:val="center"/>
    </w:pPr>
    <w:rPr>
      <w:sz w:val="18"/>
      <w:szCs w:val="18"/>
    </w:rPr>
  </w:style>
  <w:style w:type="character" w:customStyle="1" w:styleId="a5">
    <w:name w:val="页眉 字符"/>
    <w:basedOn w:val="a0"/>
    <w:link w:val="a4"/>
    <w:uiPriority w:val="99"/>
    <w:rsid w:val="006C5F66"/>
    <w:rPr>
      <w:rFonts w:ascii="Times New Roman" w:eastAsia="宋体" w:hAnsi="Times New Roman" w:cs="Times New Roman"/>
      <w:sz w:val="18"/>
      <w:szCs w:val="18"/>
    </w:rPr>
  </w:style>
  <w:style w:type="paragraph" w:styleId="a6">
    <w:name w:val="footer"/>
    <w:basedOn w:val="a"/>
    <w:link w:val="a7"/>
    <w:uiPriority w:val="99"/>
    <w:unhideWhenUsed/>
    <w:rsid w:val="006C5F66"/>
    <w:pPr>
      <w:tabs>
        <w:tab w:val="center" w:pos="4153"/>
        <w:tab w:val="right" w:pos="8306"/>
      </w:tabs>
      <w:spacing w:line="240" w:lineRule="atLeast"/>
      <w:jc w:val="left"/>
    </w:pPr>
    <w:rPr>
      <w:sz w:val="18"/>
      <w:szCs w:val="18"/>
    </w:rPr>
  </w:style>
  <w:style w:type="character" w:customStyle="1" w:styleId="a7">
    <w:name w:val="页脚 字符"/>
    <w:basedOn w:val="a0"/>
    <w:link w:val="a6"/>
    <w:uiPriority w:val="99"/>
    <w:rsid w:val="006C5F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457</Characters>
  <Application>Microsoft Office Word</Application>
  <DocSecurity>0</DocSecurity>
  <Lines>41</Lines>
  <Paragraphs>36</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谭健</dc:creator>
  <cp:keywords/>
  <dc:description/>
  <cp:lastModifiedBy>王皓如</cp:lastModifiedBy>
  <cp:revision>3</cp:revision>
  <dcterms:created xsi:type="dcterms:W3CDTF">2020-10-30T08:00:00Z</dcterms:created>
  <dcterms:modified xsi:type="dcterms:W3CDTF">2020-10-30T09:00:00Z</dcterms:modified>
</cp:coreProperties>
</file>