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9A3" w:rsidRDefault="005B59A3" w:rsidP="005B59A3">
      <w:pPr>
        <w:ind w:firstLineChars="0" w:firstLine="0"/>
        <w:rPr>
          <w:rFonts w:eastAsia="黑体"/>
        </w:rPr>
      </w:pPr>
      <w:r>
        <w:rPr>
          <w:rFonts w:eastAsia="黑体"/>
          <w:szCs w:val="32"/>
        </w:rPr>
        <w:t>附件</w:t>
      </w:r>
      <w:r>
        <w:rPr>
          <w:rFonts w:eastAsia="黑体"/>
          <w:szCs w:val="32"/>
        </w:rPr>
        <w:t>5</w:t>
      </w:r>
      <w:r>
        <w:rPr>
          <w:rFonts w:eastAsia="黑体"/>
        </w:rPr>
        <w:t xml:space="preserve"> </w:t>
      </w:r>
    </w:p>
    <w:p w:rsidR="005B59A3" w:rsidRDefault="005B59A3" w:rsidP="005B59A3">
      <w:pPr>
        <w:ind w:firstLine="803"/>
        <w:jc w:val="center"/>
        <w:rPr>
          <w:rFonts w:eastAsia="仿宋_GB2312"/>
          <w:b/>
          <w:sz w:val="40"/>
          <w:szCs w:val="40"/>
        </w:rPr>
      </w:pPr>
    </w:p>
    <w:p w:rsidR="005B59A3" w:rsidRDefault="005B59A3" w:rsidP="005B59A3">
      <w:pPr>
        <w:pStyle w:val="a3"/>
        <w:rPr>
          <w:rFonts w:ascii="Times New Roman" w:hAnsi="Times New Roman" w:cs="Times New Roman"/>
          <w:sz w:val="44"/>
          <w:szCs w:val="44"/>
        </w:rPr>
      </w:pPr>
      <w:r>
        <w:rPr>
          <w:rFonts w:ascii="Times New Roman" w:hAnsi="Times New Roman" w:cs="Times New Roman"/>
          <w:sz w:val="44"/>
          <w:szCs w:val="44"/>
        </w:rPr>
        <w:t>豆油、棕榈油集团内仓单串换试点业务流程</w:t>
      </w:r>
    </w:p>
    <w:p w:rsidR="005B59A3" w:rsidRDefault="005B59A3" w:rsidP="005B59A3">
      <w:pPr>
        <w:ind w:firstLineChars="0" w:firstLine="0"/>
        <w:rPr>
          <w:rFonts w:eastAsia="仿宋_GB2312"/>
        </w:rPr>
      </w:pPr>
    </w:p>
    <w:p w:rsidR="005B59A3" w:rsidRDefault="005B59A3" w:rsidP="005B59A3">
      <w:pPr>
        <w:ind w:firstLine="640"/>
        <w:rPr>
          <w:rFonts w:eastAsia="黑体"/>
          <w:szCs w:val="20"/>
        </w:rPr>
      </w:pPr>
      <w:r>
        <w:rPr>
          <w:rFonts w:eastAsia="黑体"/>
          <w:szCs w:val="20"/>
        </w:rPr>
        <w:t>一、串换规定</w:t>
      </w:r>
    </w:p>
    <w:p w:rsidR="005B59A3" w:rsidRDefault="005B59A3" w:rsidP="005B59A3">
      <w:pPr>
        <w:ind w:firstLine="643"/>
        <w:rPr>
          <w:rFonts w:eastAsia="楷体"/>
          <w:b/>
          <w:bCs/>
          <w:szCs w:val="20"/>
        </w:rPr>
      </w:pPr>
      <w:r>
        <w:rPr>
          <w:rFonts w:eastAsia="楷体"/>
          <w:b/>
          <w:bCs/>
          <w:szCs w:val="20"/>
        </w:rPr>
        <w:t>（一）客户资质要求</w:t>
      </w:r>
    </w:p>
    <w:p w:rsidR="005B59A3" w:rsidRDefault="005B59A3" w:rsidP="005B59A3">
      <w:pPr>
        <w:ind w:firstLine="640"/>
        <w:rPr>
          <w:rFonts w:eastAsia="仿宋_GB2312"/>
          <w:szCs w:val="20"/>
        </w:rPr>
      </w:pPr>
      <w:r>
        <w:rPr>
          <w:rFonts w:eastAsia="仿宋_GB2312"/>
          <w:szCs w:val="20"/>
        </w:rPr>
        <w:t>申请串换业务的客户、非期货公司会员应持有通过当月交割（不含期转现）买入的试点集团所属仓（厂）库签发的豆油或棕榈油标准仓单。</w:t>
      </w:r>
    </w:p>
    <w:p w:rsidR="005B59A3" w:rsidRDefault="005B59A3" w:rsidP="005B59A3">
      <w:pPr>
        <w:ind w:firstLine="643"/>
        <w:rPr>
          <w:rFonts w:eastAsia="楷体"/>
          <w:b/>
          <w:bCs/>
          <w:szCs w:val="20"/>
        </w:rPr>
      </w:pPr>
      <w:r>
        <w:rPr>
          <w:rFonts w:eastAsia="楷体"/>
          <w:b/>
          <w:bCs/>
          <w:szCs w:val="20"/>
        </w:rPr>
        <w:t>（二）串换品种及数量</w:t>
      </w:r>
    </w:p>
    <w:p w:rsidR="005B59A3" w:rsidRDefault="005B59A3" w:rsidP="005B59A3">
      <w:pPr>
        <w:ind w:firstLine="640"/>
        <w:jc w:val="left"/>
        <w:rPr>
          <w:rFonts w:eastAsia="仿宋_GB2312"/>
          <w:szCs w:val="32"/>
        </w:rPr>
      </w:pPr>
      <w:r>
        <w:rPr>
          <w:rFonts w:eastAsia="仿宋_GB2312"/>
          <w:szCs w:val="32"/>
        </w:rPr>
        <w:t>豆油品种可以申请仓单串仓单和仓单串现货，仓单串现货时可串为大连商品交易所豆油期货交割质量标准要求的大豆原油。如果客户或非期货公司会员申请串换为一级豆油，客户或非期货公司会员需向串换库支付精炼费。精炼费实行最高限价，按照该合约交割前月的最后一个交易日结算价计算处理，上限为串换前月最后一个交易日结算价的千分之三十五</w:t>
      </w:r>
      <w:r>
        <w:rPr>
          <w:rFonts w:eastAsia="仿宋_GB2312"/>
          <w:szCs w:val="32"/>
        </w:rPr>
        <w:t>/</w:t>
      </w:r>
      <w:r>
        <w:rPr>
          <w:rFonts w:eastAsia="仿宋_GB2312"/>
          <w:szCs w:val="32"/>
        </w:rPr>
        <w:t>吨。计算值以元为单位取整，四舍五入。棕榈油品种只能申请仓单串现货，串换货物品质需符合大连商品交易所棕榈油期货交割质量标准要求。</w:t>
      </w:r>
    </w:p>
    <w:p w:rsidR="005B59A3" w:rsidRDefault="005B59A3" w:rsidP="005B59A3">
      <w:pPr>
        <w:ind w:firstLine="640"/>
        <w:rPr>
          <w:rFonts w:eastAsia="仿宋_GB2312"/>
          <w:szCs w:val="20"/>
        </w:rPr>
      </w:pPr>
      <w:r>
        <w:rPr>
          <w:rFonts w:eastAsia="仿宋_GB2312"/>
          <w:szCs w:val="20"/>
        </w:rPr>
        <w:t>客户仓单串换的申请数量不得超过其通过当月交割买入的该集团所属交割仓（厂）库标准仓单数量，对于每个品种，单个</w:t>
      </w:r>
      <w:r>
        <w:rPr>
          <w:rFonts w:eastAsia="仿宋_GB2312"/>
          <w:szCs w:val="20"/>
        </w:rPr>
        <w:lastRenderedPageBreak/>
        <w:t>客户在单个合约上最大串换量不超过</w:t>
      </w:r>
      <w:r>
        <w:rPr>
          <w:rFonts w:eastAsia="仿宋_GB2312"/>
          <w:szCs w:val="20"/>
        </w:rPr>
        <w:t>1000</w:t>
      </w:r>
      <w:r>
        <w:rPr>
          <w:rFonts w:eastAsia="仿宋_GB2312"/>
          <w:szCs w:val="20"/>
        </w:rPr>
        <w:t>吨，单个串换库的串入和串出数量在单个期货合约上分别不超过</w:t>
      </w:r>
      <w:r>
        <w:rPr>
          <w:rFonts w:eastAsia="仿宋_GB2312"/>
          <w:szCs w:val="20"/>
        </w:rPr>
        <w:t>3000</w:t>
      </w:r>
      <w:r>
        <w:rPr>
          <w:rFonts w:eastAsia="仿宋_GB2312"/>
          <w:szCs w:val="20"/>
        </w:rPr>
        <w:t>吨。</w:t>
      </w:r>
    </w:p>
    <w:p w:rsidR="005B59A3" w:rsidRDefault="005B59A3" w:rsidP="005B59A3">
      <w:pPr>
        <w:ind w:firstLine="643"/>
        <w:rPr>
          <w:rFonts w:eastAsia="楷体"/>
          <w:b/>
          <w:bCs/>
          <w:szCs w:val="32"/>
        </w:rPr>
      </w:pPr>
      <w:r>
        <w:rPr>
          <w:rFonts w:eastAsia="楷体"/>
          <w:b/>
          <w:bCs/>
          <w:szCs w:val="32"/>
        </w:rPr>
        <w:t>（三）串换费用</w:t>
      </w:r>
    </w:p>
    <w:p w:rsidR="005B59A3" w:rsidRDefault="005B59A3" w:rsidP="005B59A3">
      <w:pPr>
        <w:ind w:firstLine="640"/>
        <w:rPr>
          <w:rFonts w:eastAsia="仿宋_GB2312"/>
          <w:szCs w:val="32"/>
        </w:rPr>
      </w:pPr>
      <w:r>
        <w:rPr>
          <w:rFonts w:eastAsia="仿宋_GB2312"/>
          <w:szCs w:val="32"/>
        </w:rPr>
        <w:t>串换费用由以下四部分组成：</w:t>
      </w:r>
    </w:p>
    <w:p w:rsidR="005B59A3" w:rsidRDefault="005B59A3" w:rsidP="005B59A3">
      <w:pPr>
        <w:ind w:firstLine="640"/>
        <w:rPr>
          <w:rFonts w:eastAsia="仿宋_GB2312"/>
          <w:szCs w:val="32"/>
        </w:rPr>
      </w:pPr>
      <w:r>
        <w:rPr>
          <w:rFonts w:eastAsia="仿宋_GB2312"/>
          <w:szCs w:val="32"/>
        </w:rPr>
        <w:t>1.</w:t>
      </w:r>
      <w:r>
        <w:rPr>
          <w:rFonts w:eastAsia="仿宋_GB2312"/>
          <w:szCs w:val="32"/>
        </w:rPr>
        <w:t>期货升贴水</w:t>
      </w:r>
    </w:p>
    <w:p w:rsidR="005B59A3" w:rsidRDefault="005B59A3" w:rsidP="005B59A3">
      <w:pPr>
        <w:ind w:firstLine="640"/>
        <w:rPr>
          <w:rFonts w:eastAsia="仿宋_GB2312"/>
          <w:szCs w:val="32"/>
        </w:rPr>
      </w:pPr>
      <w:r>
        <w:rPr>
          <w:rFonts w:eastAsia="仿宋_GB2312"/>
          <w:szCs w:val="32"/>
        </w:rPr>
        <w:t>仓单串现货的客户或非期货公司会员应结清原来持有的仓单所属交割仓（厂）库的期货升贴水；仓单串仓单的客户或非期货公司会员应结清串换前后的仓单所属交割仓（厂）库的期货升贴水。</w:t>
      </w:r>
    </w:p>
    <w:p w:rsidR="005B59A3" w:rsidRDefault="005B59A3" w:rsidP="005B59A3">
      <w:pPr>
        <w:ind w:firstLine="640"/>
        <w:rPr>
          <w:rFonts w:eastAsia="仿宋_GB2312"/>
          <w:szCs w:val="32"/>
        </w:rPr>
      </w:pPr>
      <w:r>
        <w:rPr>
          <w:rFonts w:eastAsia="仿宋_GB2312"/>
          <w:szCs w:val="32"/>
        </w:rPr>
        <w:t>2</w:t>
      </w:r>
      <w:r>
        <w:rPr>
          <w:rFonts w:eastAsia="仿宋_GB2312"/>
          <w:sz w:val="40"/>
          <w:szCs w:val="32"/>
        </w:rPr>
        <w:t>.</w:t>
      </w:r>
      <w:r>
        <w:rPr>
          <w:rFonts w:eastAsia="仿宋_GB2312"/>
          <w:szCs w:val="32"/>
        </w:rPr>
        <w:t>串换现货价差</w:t>
      </w:r>
    </w:p>
    <w:p w:rsidR="005B59A3" w:rsidRDefault="005B59A3" w:rsidP="005B59A3">
      <w:pPr>
        <w:ind w:firstLine="640"/>
        <w:jc w:val="left"/>
        <w:rPr>
          <w:rFonts w:eastAsia="仿宋_GB2312"/>
          <w:szCs w:val="32"/>
        </w:rPr>
      </w:pPr>
      <w:r>
        <w:rPr>
          <w:rFonts w:eastAsia="仿宋_GB2312"/>
          <w:szCs w:val="32"/>
        </w:rPr>
        <w:t>串换现货价差是串出地和串入地两个地点近期现货的价差，具体计算方式详见交易所通知。</w:t>
      </w:r>
    </w:p>
    <w:p w:rsidR="005B59A3" w:rsidRDefault="005B59A3" w:rsidP="005B59A3">
      <w:pPr>
        <w:ind w:firstLine="640"/>
        <w:rPr>
          <w:rFonts w:eastAsia="仿宋_GB2312"/>
          <w:szCs w:val="32"/>
        </w:rPr>
      </w:pPr>
      <w:r>
        <w:rPr>
          <w:rFonts w:eastAsia="仿宋_GB2312"/>
          <w:szCs w:val="32"/>
        </w:rPr>
        <w:t>3</w:t>
      </w:r>
      <w:r>
        <w:rPr>
          <w:rFonts w:eastAsia="仿宋_GB2312"/>
          <w:sz w:val="40"/>
          <w:szCs w:val="32"/>
        </w:rPr>
        <w:t>.</w:t>
      </w:r>
      <w:r>
        <w:rPr>
          <w:rFonts w:eastAsia="仿宋_GB2312"/>
          <w:szCs w:val="32"/>
        </w:rPr>
        <w:t>仓单串换库生产计划调整费用</w:t>
      </w:r>
    </w:p>
    <w:p w:rsidR="005B59A3" w:rsidRDefault="005B59A3" w:rsidP="005B59A3">
      <w:pPr>
        <w:ind w:firstLine="640"/>
        <w:rPr>
          <w:rFonts w:eastAsia="仿宋_GB2312"/>
          <w:szCs w:val="32"/>
        </w:rPr>
      </w:pPr>
      <w:r>
        <w:rPr>
          <w:rFonts w:eastAsia="仿宋_GB2312"/>
          <w:szCs w:val="32"/>
        </w:rPr>
        <w:t>仓单串换库生产计划调整费实行最高限价。串换当月的生产计划调整费按照该合约交割前月的最后一个交易日结算价计算处理，豆油、棕榈油仓单串现货的生产计划调整费上限为串换前月最后一个交易日结算价的千分之五</w:t>
      </w:r>
      <w:r>
        <w:rPr>
          <w:rFonts w:eastAsia="仿宋_GB2312"/>
          <w:szCs w:val="32"/>
        </w:rPr>
        <w:t>/</w:t>
      </w:r>
      <w:r>
        <w:rPr>
          <w:rFonts w:eastAsia="仿宋_GB2312"/>
          <w:szCs w:val="32"/>
        </w:rPr>
        <w:t>吨，豆油仓单串仓单的生产计划调整费上限为串换前月最后一个交易日结算价的千分之十五</w:t>
      </w:r>
      <w:r>
        <w:rPr>
          <w:rFonts w:eastAsia="仿宋_GB2312"/>
          <w:szCs w:val="32"/>
        </w:rPr>
        <w:t>/</w:t>
      </w:r>
      <w:r>
        <w:rPr>
          <w:rFonts w:eastAsia="仿宋_GB2312"/>
          <w:szCs w:val="32"/>
        </w:rPr>
        <w:t>吨。计算值以元为单位取整，四舍五入。</w:t>
      </w:r>
    </w:p>
    <w:p w:rsidR="005B59A3" w:rsidRDefault="005B59A3" w:rsidP="005B59A3">
      <w:pPr>
        <w:ind w:firstLine="640"/>
        <w:rPr>
          <w:rFonts w:eastAsia="仿宋_GB2312"/>
          <w:szCs w:val="32"/>
        </w:rPr>
      </w:pPr>
      <w:r>
        <w:rPr>
          <w:rFonts w:eastAsia="仿宋_GB2312"/>
          <w:szCs w:val="32"/>
        </w:rPr>
        <w:t>4.</w:t>
      </w:r>
      <w:r>
        <w:rPr>
          <w:rFonts w:eastAsia="仿宋_GB2312"/>
          <w:szCs w:val="32"/>
        </w:rPr>
        <w:t>串换货物品质价差</w:t>
      </w:r>
    </w:p>
    <w:p w:rsidR="005B59A3" w:rsidRDefault="005B59A3" w:rsidP="005B59A3">
      <w:pPr>
        <w:ind w:firstLine="640"/>
        <w:jc w:val="left"/>
        <w:rPr>
          <w:rFonts w:eastAsia="仿宋_GB2312"/>
          <w:szCs w:val="32"/>
        </w:rPr>
      </w:pPr>
      <w:r>
        <w:rPr>
          <w:rFonts w:eastAsia="仿宋_GB2312"/>
          <w:szCs w:val="32"/>
        </w:rPr>
        <w:t>豆油仓单串现货时可串为交易所期货合约交割质量标准要求的大豆原油。如果客户或非期货公司会员申请串换为一级豆</w:t>
      </w:r>
      <w:r>
        <w:rPr>
          <w:rFonts w:eastAsia="仿宋_GB2312"/>
          <w:szCs w:val="32"/>
        </w:rPr>
        <w:lastRenderedPageBreak/>
        <w:t>油，需向串换库（或其指定企业）支付精炼费。精炼费实行最高限价，按照该合约交割前月的最后一个交易日结算价计算处理，上限为串换前月最后一个交易日结算价的千分之三十五</w:t>
      </w:r>
      <w:r>
        <w:rPr>
          <w:rFonts w:eastAsia="仿宋_GB2312"/>
          <w:szCs w:val="32"/>
        </w:rPr>
        <w:t>/</w:t>
      </w:r>
      <w:r>
        <w:rPr>
          <w:rFonts w:eastAsia="仿宋_GB2312"/>
          <w:szCs w:val="32"/>
        </w:rPr>
        <w:t>吨。计算值以元为单位取整，四舍五入。在支付相关精炼费用后，串换库必须为客户或非期货公司会员串换为一级豆油。</w:t>
      </w:r>
    </w:p>
    <w:p w:rsidR="005B59A3" w:rsidRDefault="005B59A3" w:rsidP="005B59A3">
      <w:pPr>
        <w:ind w:firstLine="640"/>
        <w:jc w:val="left"/>
        <w:rPr>
          <w:rFonts w:eastAsia="仿宋_GB2312"/>
          <w:szCs w:val="32"/>
        </w:rPr>
      </w:pPr>
      <w:r>
        <w:rPr>
          <w:rFonts w:eastAsia="仿宋_GB2312"/>
          <w:szCs w:val="32"/>
        </w:rPr>
        <w:t>棕榈油串换后的货物应满足交易所期货合约的交割质量标准要求。</w:t>
      </w:r>
    </w:p>
    <w:p w:rsidR="005B59A3" w:rsidRDefault="005B59A3" w:rsidP="005B59A3">
      <w:pPr>
        <w:ind w:firstLine="640"/>
        <w:rPr>
          <w:rFonts w:eastAsia="黑体"/>
          <w:szCs w:val="20"/>
        </w:rPr>
      </w:pPr>
      <w:r>
        <w:rPr>
          <w:rFonts w:eastAsia="黑体"/>
          <w:szCs w:val="20"/>
        </w:rPr>
        <w:t>二、串换流程</w:t>
      </w:r>
    </w:p>
    <w:p w:rsidR="005B59A3" w:rsidRDefault="005B59A3" w:rsidP="005B59A3">
      <w:pPr>
        <w:ind w:firstLine="643"/>
        <w:jc w:val="left"/>
        <w:rPr>
          <w:rFonts w:eastAsia="楷体"/>
          <w:b/>
          <w:szCs w:val="32"/>
        </w:rPr>
      </w:pPr>
      <w:r>
        <w:rPr>
          <w:rFonts w:eastAsia="楷体"/>
          <w:b/>
          <w:szCs w:val="32"/>
        </w:rPr>
        <w:t>（一）客户申请串换</w:t>
      </w:r>
    </w:p>
    <w:p w:rsidR="005B59A3" w:rsidRDefault="005B59A3" w:rsidP="005B59A3">
      <w:pPr>
        <w:ind w:firstLine="640"/>
        <w:jc w:val="left"/>
        <w:rPr>
          <w:rFonts w:eastAsia="仿宋_GB2312"/>
          <w:bCs/>
          <w:szCs w:val="32"/>
        </w:rPr>
      </w:pPr>
      <w:r>
        <w:rPr>
          <w:rFonts w:eastAsia="仿宋_GB2312"/>
          <w:bCs/>
          <w:szCs w:val="32"/>
        </w:rPr>
        <w:t>申请串换豆油的客户、非期货公司会员可在交割月第七个交易日或最后交割日后第一个交易日当天</w:t>
      </w:r>
      <w:r>
        <w:rPr>
          <w:rFonts w:eastAsia="仿宋_GB2312"/>
          <w:bCs/>
          <w:szCs w:val="32"/>
        </w:rPr>
        <w:t>9</w:t>
      </w:r>
      <w:r>
        <w:rPr>
          <w:rFonts w:eastAsia="仿宋_GB2312"/>
          <w:bCs/>
          <w:szCs w:val="32"/>
        </w:rPr>
        <w:t>：</w:t>
      </w:r>
      <w:r>
        <w:rPr>
          <w:rFonts w:eastAsia="仿宋_GB2312"/>
          <w:bCs/>
          <w:szCs w:val="32"/>
        </w:rPr>
        <w:t>30—14</w:t>
      </w:r>
      <w:r>
        <w:rPr>
          <w:rFonts w:eastAsia="仿宋_GB2312"/>
          <w:bCs/>
          <w:szCs w:val="32"/>
        </w:rPr>
        <w:t>：</w:t>
      </w:r>
      <w:r>
        <w:rPr>
          <w:rFonts w:eastAsia="仿宋_GB2312"/>
          <w:bCs/>
          <w:szCs w:val="32"/>
        </w:rPr>
        <w:t>30</w:t>
      </w:r>
      <w:r>
        <w:rPr>
          <w:rFonts w:eastAsia="仿宋_GB2312"/>
          <w:bCs/>
          <w:szCs w:val="32"/>
        </w:rPr>
        <w:t>直接或者通过期货公司会员向交易所提交串换申请（非期货公司会员直接向交易所办理申报手续），包括拟串换仓库及拟串换数量等内容。</w:t>
      </w:r>
    </w:p>
    <w:p w:rsidR="005B59A3" w:rsidRDefault="005B59A3" w:rsidP="005B59A3">
      <w:pPr>
        <w:ind w:firstLine="640"/>
        <w:jc w:val="left"/>
        <w:rPr>
          <w:rFonts w:eastAsia="仿宋_GB2312"/>
          <w:bCs/>
          <w:szCs w:val="32"/>
        </w:rPr>
      </w:pPr>
      <w:r>
        <w:rPr>
          <w:rFonts w:eastAsia="仿宋_GB2312"/>
          <w:bCs/>
          <w:szCs w:val="32"/>
        </w:rPr>
        <w:t>申请串换棕榈油的客户、非期货公司会员可在交割月最后交割日后第一个交易日当天</w:t>
      </w:r>
      <w:r>
        <w:rPr>
          <w:rFonts w:eastAsia="仿宋_GB2312"/>
          <w:bCs/>
          <w:szCs w:val="32"/>
        </w:rPr>
        <w:t>9</w:t>
      </w:r>
      <w:r>
        <w:rPr>
          <w:rFonts w:eastAsia="仿宋_GB2312"/>
          <w:bCs/>
          <w:szCs w:val="32"/>
        </w:rPr>
        <w:t>：</w:t>
      </w:r>
      <w:r>
        <w:rPr>
          <w:rFonts w:eastAsia="仿宋_GB2312"/>
          <w:bCs/>
          <w:szCs w:val="32"/>
        </w:rPr>
        <w:t>30—14</w:t>
      </w:r>
      <w:r>
        <w:rPr>
          <w:rFonts w:eastAsia="仿宋_GB2312"/>
          <w:bCs/>
          <w:szCs w:val="32"/>
        </w:rPr>
        <w:t>：</w:t>
      </w:r>
      <w:r>
        <w:rPr>
          <w:rFonts w:eastAsia="仿宋_GB2312"/>
          <w:bCs/>
          <w:szCs w:val="32"/>
        </w:rPr>
        <w:t>30</w:t>
      </w:r>
      <w:r>
        <w:rPr>
          <w:rFonts w:eastAsia="仿宋_GB2312"/>
          <w:bCs/>
          <w:szCs w:val="32"/>
        </w:rPr>
        <w:t>直接或者通过期货公司会员向交易所提交串换申请（非期货公司会员直接向交易所办理申报手续），包括拟串换仓库及拟串换数量等内容。</w:t>
      </w:r>
    </w:p>
    <w:p w:rsidR="005B59A3" w:rsidRDefault="005B59A3" w:rsidP="005B59A3">
      <w:pPr>
        <w:ind w:firstLine="643"/>
        <w:jc w:val="left"/>
        <w:rPr>
          <w:rFonts w:eastAsia="楷体"/>
          <w:b/>
          <w:szCs w:val="32"/>
        </w:rPr>
      </w:pPr>
      <w:r>
        <w:rPr>
          <w:rFonts w:eastAsia="楷体"/>
          <w:b/>
          <w:szCs w:val="32"/>
        </w:rPr>
        <w:t>（二）交易所审批</w:t>
      </w:r>
    </w:p>
    <w:p w:rsidR="005B59A3" w:rsidRDefault="005B59A3" w:rsidP="005B59A3">
      <w:pPr>
        <w:ind w:firstLine="640"/>
        <w:jc w:val="left"/>
        <w:rPr>
          <w:rFonts w:eastAsia="仿宋_GB2312"/>
          <w:bCs/>
          <w:iCs/>
          <w:szCs w:val="32"/>
        </w:rPr>
      </w:pPr>
      <w:r>
        <w:rPr>
          <w:rFonts w:eastAsia="仿宋_GB2312"/>
          <w:bCs/>
          <w:szCs w:val="32"/>
        </w:rPr>
        <w:t>交易所在收到串换申请当日</w:t>
      </w:r>
      <w:r>
        <w:rPr>
          <w:rFonts w:eastAsia="仿宋_GB2312"/>
          <w:bCs/>
          <w:szCs w:val="32"/>
        </w:rPr>
        <w:t>16</w:t>
      </w:r>
      <w:r>
        <w:rPr>
          <w:rFonts w:eastAsia="仿宋_GB2312"/>
          <w:bCs/>
          <w:szCs w:val="32"/>
        </w:rPr>
        <w:t>：</w:t>
      </w:r>
      <w:r>
        <w:rPr>
          <w:rFonts w:eastAsia="仿宋_GB2312"/>
          <w:bCs/>
          <w:szCs w:val="32"/>
        </w:rPr>
        <w:t>00</w:t>
      </w:r>
      <w:r>
        <w:rPr>
          <w:rFonts w:eastAsia="仿宋_GB2312"/>
          <w:bCs/>
          <w:szCs w:val="32"/>
        </w:rPr>
        <w:t>前代为排序并通知客户、非期货公司会员是否可以与集团开展串换业务。排序原则为按照非交割库客户优先，时间优先（</w:t>
      </w:r>
      <w:r>
        <w:rPr>
          <w:rFonts w:eastAsia="仿宋_GB2312"/>
          <w:bCs/>
          <w:iCs/>
          <w:szCs w:val="32"/>
        </w:rPr>
        <w:t>交割仓库客户是指豆</w:t>
      </w:r>
      <w:r>
        <w:rPr>
          <w:rFonts w:eastAsia="仿宋_GB2312"/>
          <w:bCs/>
          <w:iCs/>
          <w:szCs w:val="32"/>
        </w:rPr>
        <w:lastRenderedPageBreak/>
        <w:t>油、棕榈油交割仓（厂）库及交易所认定的其关联客户）。排序方法为同一类型企业（非交割库企业</w:t>
      </w:r>
      <w:r>
        <w:rPr>
          <w:rFonts w:eastAsia="仿宋_GB2312"/>
          <w:bCs/>
          <w:iCs/>
          <w:szCs w:val="32"/>
        </w:rPr>
        <w:t>/</w:t>
      </w:r>
      <w:r>
        <w:rPr>
          <w:rFonts w:eastAsia="仿宋_GB2312"/>
          <w:bCs/>
          <w:iCs/>
          <w:szCs w:val="32"/>
        </w:rPr>
        <w:t>交割库企业），先申报的优先，先满足每个客户串换限额内的需求；如所有串换完成后串换集团还有剩余额度，可满足客户超额度需求。</w:t>
      </w:r>
    </w:p>
    <w:p w:rsidR="005B59A3" w:rsidRDefault="005B59A3" w:rsidP="005B59A3">
      <w:pPr>
        <w:ind w:firstLine="643"/>
        <w:jc w:val="left"/>
        <w:rPr>
          <w:rFonts w:eastAsia="楷体"/>
          <w:b/>
          <w:iCs/>
          <w:szCs w:val="32"/>
        </w:rPr>
      </w:pPr>
      <w:r>
        <w:rPr>
          <w:rFonts w:eastAsia="楷体"/>
          <w:b/>
          <w:iCs/>
          <w:szCs w:val="32"/>
        </w:rPr>
        <w:t>（三）串换谈判</w:t>
      </w:r>
    </w:p>
    <w:p w:rsidR="005B59A3" w:rsidRDefault="005B59A3" w:rsidP="005B59A3">
      <w:pPr>
        <w:ind w:firstLine="640"/>
        <w:jc w:val="left"/>
        <w:rPr>
          <w:rFonts w:eastAsia="仿宋_GB2312"/>
          <w:bCs/>
          <w:iCs/>
          <w:szCs w:val="32"/>
        </w:rPr>
      </w:pPr>
      <w:r>
        <w:rPr>
          <w:rFonts w:eastAsia="仿宋_GB2312"/>
          <w:bCs/>
          <w:iCs/>
          <w:szCs w:val="32"/>
        </w:rPr>
        <w:t>客户、非期货公司会员应在交易所通知其可与试点集团开展串换谈判后，与串换集团或其指定的串换库就串换协议主要条款（串换数量、费用）进行磋商，并应于接到交易所通知之日起</w:t>
      </w:r>
      <w:r>
        <w:rPr>
          <w:rFonts w:eastAsia="仿宋_GB2312"/>
          <w:bCs/>
          <w:iCs/>
          <w:szCs w:val="32"/>
        </w:rPr>
        <w:t>2</w:t>
      </w:r>
      <w:r>
        <w:rPr>
          <w:rFonts w:eastAsia="仿宋_GB2312"/>
          <w:bCs/>
          <w:iCs/>
          <w:szCs w:val="32"/>
        </w:rPr>
        <w:t>个工作日内将磋商结果通知交易所，如不能达成一致，由下一顺序客户、非期货公司会员继续串换。</w:t>
      </w:r>
    </w:p>
    <w:p w:rsidR="005B59A3" w:rsidRDefault="005B59A3" w:rsidP="005B59A3">
      <w:pPr>
        <w:ind w:firstLine="643"/>
        <w:jc w:val="left"/>
        <w:rPr>
          <w:rFonts w:eastAsia="楷体"/>
          <w:b/>
          <w:iCs/>
          <w:szCs w:val="32"/>
        </w:rPr>
      </w:pPr>
      <w:r>
        <w:rPr>
          <w:rFonts w:eastAsia="楷体"/>
          <w:b/>
          <w:iCs/>
          <w:szCs w:val="32"/>
        </w:rPr>
        <w:t>（四）签订串换协议</w:t>
      </w:r>
    </w:p>
    <w:p w:rsidR="005B59A3" w:rsidRDefault="005B59A3" w:rsidP="005B59A3">
      <w:pPr>
        <w:ind w:firstLine="640"/>
        <w:jc w:val="left"/>
        <w:rPr>
          <w:rFonts w:eastAsia="仿宋_GB2312"/>
          <w:bCs/>
          <w:iCs/>
          <w:szCs w:val="32"/>
        </w:rPr>
      </w:pPr>
      <w:r>
        <w:rPr>
          <w:rFonts w:eastAsia="仿宋_GB2312"/>
          <w:bCs/>
          <w:iCs/>
          <w:szCs w:val="32"/>
        </w:rPr>
        <w:t>在最后交割日后的第五个交易日</w:t>
      </w:r>
      <w:r>
        <w:rPr>
          <w:rFonts w:eastAsia="仿宋_GB2312"/>
          <w:bCs/>
          <w:iCs/>
          <w:szCs w:val="32"/>
        </w:rPr>
        <w:t>17</w:t>
      </w:r>
      <w:r>
        <w:rPr>
          <w:rFonts w:eastAsia="仿宋_GB2312"/>
          <w:bCs/>
          <w:iCs/>
          <w:szCs w:val="32"/>
        </w:rPr>
        <w:t>：</w:t>
      </w:r>
      <w:r>
        <w:rPr>
          <w:rFonts w:eastAsia="仿宋_GB2312"/>
          <w:bCs/>
          <w:iCs/>
          <w:szCs w:val="32"/>
        </w:rPr>
        <w:t>00</w:t>
      </w:r>
      <w:r>
        <w:rPr>
          <w:rFonts w:eastAsia="仿宋_GB2312"/>
          <w:bCs/>
          <w:iCs/>
          <w:szCs w:val="32"/>
        </w:rPr>
        <w:t>之前，客户、非期货公司会员应与负责串换的企业签订串换协议。如</w:t>
      </w:r>
      <w:r>
        <w:rPr>
          <w:rFonts w:eastAsia="仿宋_GB2312"/>
          <w:bCs/>
          <w:iCs/>
          <w:szCs w:val="32"/>
        </w:rPr>
        <w:t>17</w:t>
      </w:r>
      <w:r>
        <w:rPr>
          <w:rFonts w:eastAsia="仿宋_GB2312"/>
          <w:bCs/>
          <w:iCs/>
          <w:szCs w:val="32"/>
        </w:rPr>
        <w:t>：</w:t>
      </w:r>
      <w:r>
        <w:rPr>
          <w:rFonts w:eastAsia="仿宋_GB2312"/>
          <w:bCs/>
          <w:iCs/>
          <w:szCs w:val="32"/>
        </w:rPr>
        <w:t>00</w:t>
      </w:r>
      <w:r>
        <w:rPr>
          <w:rFonts w:eastAsia="仿宋_GB2312"/>
          <w:bCs/>
          <w:iCs/>
          <w:szCs w:val="32"/>
        </w:rPr>
        <w:t>之前仍未同意签署串换协议的，视为客户放弃此次串换申请。串换协议由客户与串换集团（或集团委托的企业）签署。</w:t>
      </w:r>
    </w:p>
    <w:p w:rsidR="005B59A3" w:rsidRDefault="005B59A3" w:rsidP="005B59A3">
      <w:pPr>
        <w:ind w:firstLine="643"/>
        <w:jc w:val="left"/>
        <w:rPr>
          <w:rFonts w:eastAsia="楷体"/>
          <w:b/>
          <w:iCs/>
          <w:szCs w:val="32"/>
        </w:rPr>
      </w:pPr>
      <w:r>
        <w:rPr>
          <w:rFonts w:eastAsia="楷体"/>
          <w:b/>
          <w:iCs/>
          <w:szCs w:val="32"/>
        </w:rPr>
        <w:t>（五）完成货权转让、费用结算和票据流转</w:t>
      </w:r>
    </w:p>
    <w:p w:rsidR="005B59A3" w:rsidRDefault="005B59A3" w:rsidP="005B59A3">
      <w:pPr>
        <w:ind w:firstLine="640"/>
        <w:jc w:val="left"/>
        <w:rPr>
          <w:rFonts w:eastAsia="仿宋_GB2312"/>
          <w:bCs/>
          <w:iCs/>
          <w:szCs w:val="32"/>
        </w:rPr>
      </w:pPr>
      <w:r>
        <w:rPr>
          <w:rFonts w:eastAsia="仿宋_GB2312"/>
          <w:bCs/>
          <w:iCs/>
          <w:szCs w:val="32"/>
        </w:rPr>
        <w:t>签署串换协议后，串换各方应自协议签订之日起</w:t>
      </w:r>
      <w:r>
        <w:rPr>
          <w:rFonts w:eastAsia="仿宋_GB2312"/>
          <w:bCs/>
          <w:iCs/>
          <w:szCs w:val="32"/>
        </w:rPr>
        <w:t>2</w:t>
      </w:r>
      <w:r>
        <w:rPr>
          <w:rFonts w:eastAsia="仿宋_GB2312"/>
          <w:bCs/>
          <w:iCs/>
          <w:szCs w:val="32"/>
        </w:rPr>
        <w:t>个工作日内完成所持标准仓单的转让流程。需要支付串换费用的串换方应在收到对方开具的串换费用发票之日起</w:t>
      </w:r>
      <w:r>
        <w:rPr>
          <w:rFonts w:eastAsia="仿宋_GB2312"/>
          <w:bCs/>
          <w:iCs/>
          <w:szCs w:val="32"/>
        </w:rPr>
        <w:t>2</w:t>
      </w:r>
      <w:r>
        <w:rPr>
          <w:rFonts w:eastAsia="仿宋_GB2312"/>
          <w:bCs/>
          <w:iCs/>
          <w:szCs w:val="32"/>
        </w:rPr>
        <w:t>个工作日内全额支付串换费用。</w:t>
      </w:r>
    </w:p>
    <w:p w:rsidR="005B59A3" w:rsidRDefault="005B59A3" w:rsidP="005B59A3">
      <w:pPr>
        <w:ind w:firstLine="640"/>
        <w:rPr>
          <w:rFonts w:eastAsia="仿宋_GB2312"/>
          <w:b/>
          <w:szCs w:val="20"/>
        </w:rPr>
      </w:pPr>
      <w:r>
        <w:rPr>
          <w:rFonts w:eastAsia="黑体"/>
          <w:szCs w:val="20"/>
        </w:rPr>
        <w:t>三、仓单串现货的提货规定及争议解决</w:t>
      </w:r>
    </w:p>
    <w:p w:rsidR="005B59A3" w:rsidRDefault="005B59A3" w:rsidP="005B59A3">
      <w:pPr>
        <w:ind w:firstLine="643"/>
        <w:rPr>
          <w:rFonts w:eastAsia="楷体"/>
          <w:b/>
          <w:bCs/>
          <w:szCs w:val="20"/>
        </w:rPr>
      </w:pPr>
      <w:r>
        <w:rPr>
          <w:rFonts w:eastAsia="楷体"/>
          <w:b/>
          <w:bCs/>
          <w:szCs w:val="20"/>
        </w:rPr>
        <w:t>（一）提货规定</w:t>
      </w:r>
    </w:p>
    <w:p w:rsidR="005B59A3" w:rsidRDefault="005B59A3" w:rsidP="005B59A3">
      <w:pPr>
        <w:ind w:firstLine="640"/>
        <w:jc w:val="left"/>
        <w:rPr>
          <w:rFonts w:eastAsia="仿宋_GB2312"/>
          <w:szCs w:val="32"/>
        </w:rPr>
      </w:pPr>
      <w:r>
        <w:rPr>
          <w:rFonts w:eastAsia="仿宋_GB2312"/>
          <w:szCs w:val="32"/>
        </w:rPr>
        <w:lastRenderedPageBreak/>
        <w:t>1.</w:t>
      </w:r>
      <w:r>
        <w:rPr>
          <w:rFonts w:eastAsia="仿宋_GB2312"/>
          <w:szCs w:val="32"/>
        </w:rPr>
        <w:t>发货要求：串换客户应当在签订串换协议后的</w:t>
      </w:r>
      <w:r>
        <w:rPr>
          <w:rFonts w:eastAsia="仿宋_GB2312"/>
          <w:szCs w:val="32"/>
        </w:rPr>
        <w:t>10</w:t>
      </w:r>
      <w:r>
        <w:rPr>
          <w:rFonts w:eastAsia="仿宋_GB2312"/>
          <w:szCs w:val="32"/>
        </w:rPr>
        <w:t>个工作日内完成提货，客户在提货时应至少提前</w:t>
      </w:r>
      <w:r>
        <w:rPr>
          <w:rFonts w:eastAsia="仿宋_GB2312"/>
          <w:szCs w:val="32"/>
        </w:rPr>
        <w:t>2</w:t>
      </w:r>
      <w:r>
        <w:rPr>
          <w:rFonts w:eastAsia="仿宋_GB2312"/>
          <w:szCs w:val="32"/>
        </w:rPr>
        <w:t>天通知串换库，并在实际提货日</w:t>
      </w:r>
      <w:r>
        <w:rPr>
          <w:rFonts w:eastAsia="仿宋_GB2312"/>
          <w:szCs w:val="32"/>
        </w:rPr>
        <w:t>16:00</w:t>
      </w:r>
      <w:r>
        <w:rPr>
          <w:rFonts w:eastAsia="仿宋_GB2312"/>
          <w:szCs w:val="32"/>
        </w:rPr>
        <w:t>前安排足量运输工具到指定提货地点。串换库应在签订串换协议后的</w:t>
      </w:r>
      <w:r>
        <w:rPr>
          <w:rFonts w:eastAsia="仿宋_GB2312"/>
          <w:szCs w:val="32"/>
        </w:rPr>
        <w:t>10</w:t>
      </w:r>
      <w:r>
        <w:rPr>
          <w:rFonts w:eastAsia="仿宋_GB2312"/>
          <w:szCs w:val="32"/>
        </w:rPr>
        <w:t>个工作日内完成发货，并且在接到客户提货通知后的</w:t>
      </w:r>
      <w:r>
        <w:rPr>
          <w:rFonts w:eastAsia="仿宋_GB2312"/>
          <w:szCs w:val="32"/>
        </w:rPr>
        <w:t>2</w:t>
      </w:r>
      <w:r>
        <w:rPr>
          <w:rFonts w:eastAsia="仿宋_GB2312"/>
          <w:szCs w:val="32"/>
        </w:rPr>
        <w:t>天内必须开始发货。</w:t>
      </w:r>
    </w:p>
    <w:p w:rsidR="005B59A3" w:rsidRDefault="005B59A3" w:rsidP="005B59A3">
      <w:pPr>
        <w:ind w:firstLine="640"/>
        <w:rPr>
          <w:rFonts w:eastAsia="仿宋_GB2312"/>
          <w:szCs w:val="20"/>
        </w:rPr>
      </w:pPr>
      <w:r>
        <w:rPr>
          <w:rFonts w:eastAsia="仿宋_GB2312"/>
          <w:szCs w:val="20"/>
        </w:rPr>
        <w:t>2.</w:t>
      </w:r>
      <w:r>
        <w:rPr>
          <w:rFonts w:eastAsia="仿宋_GB2312"/>
          <w:szCs w:val="20"/>
        </w:rPr>
        <w:t>货主提货时，须向串换库提供提货人身份证、提货人所在单位证明等有关材料。</w:t>
      </w:r>
    </w:p>
    <w:p w:rsidR="005B59A3" w:rsidRDefault="005B59A3" w:rsidP="005B59A3">
      <w:pPr>
        <w:ind w:firstLine="640"/>
        <w:rPr>
          <w:rFonts w:eastAsia="仿宋_GB2312"/>
          <w:szCs w:val="20"/>
        </w:rPr>
      </w:pPr>
      <w:r>
        <w:rPr>
          <w:rFonts w:eastAsia="仿宋_GB2312"/>
          <w:szCs w:val="20"/>
        </w:rPr>
        <w:t>3.</w:t>
      </w:r>
      <w:r>
        <w:rPr>
          <w:rFonts w:eastAsia="仿宋_GB2312"/>
          <w:szCs w:val="20"/>
        </w:rPr>
        <w:t>商品重量以串换库检重为准。</w:t>
      </w:r>
    </w:p>
    <w:p w:rsidR="005B59A3" w:rsidRDefault="005B59A3" w:rsidP="005B59A3">
      <w:pPr>
        <w:ind w:firstLine="640"/>
        <w:rPr>
          <w:rFonts w:eastAsia="仿宋_GB2312"/>
          <w:szCs w:val="20"/>
        </w:rPr>
      </w:pPr>
      <w:r>
        <w:rPr>
          <w:rFonts w:eastAsia="仿宋_GB2312"/>
          <w:szCs w:val="20"/>
        </w:rPr>
        <w:t>4.</w:t>
      </w:r>
      <w:r>
        <w:rPr>
          <w:rFonts w:eastAsia="仿宋_GB2312"/>
          <w:szCs w:val="20"/>
        </w:rPr>
        <w:t>串换库应当保证商品的质量符合双方约定的货物品质要求。</w:t>
      </w:r>
    </w:p>
    <w:p w:rsidR="005B59A3" w:rsidRDefault="005B59A3" w:rsidP="005B59A3">
      <w:pPr>
        <w:ind w:firstLine="640"/>
        <w:rPr>
          <w:rFonts w:eastAsia="仿宋_GB2312"/>
          <w:szCs w:val="20"/>
        </w:rPr>
      </w:pPr>
      <w:r>
        <w:rPr>
          <w:rFonts w:eastAsia="仿宋_GB2312"/>
          <w:szCs w:val="20"/>
        </w:rPr>
        <w:t>5.</w:t>
      </w:r>
      <w:r>
        <w:rPr>
          <w:rFonts w:eastAsia="仿宋_GB2312"/>
          <w:szCs w:val="20"/>
        </w:rPr>
        <w:t>商品出库时，串换库应当在货主的监督下进行抽样，经双方确认后将样品封存。串换库应当将豆油或棕榈油样品保留至发货日后的</w:t>
      </w:r>
      <w:r>
        <w:rPr>
          <w:rFonts w:eastAsia="仿宋_GB2312"/>
          <w:szCs w:val="20"/>
        </w:rPr>
        <w:t>30</w:t>
      </w:r>
      <w:r>
        <w:rPr>
          <w:rFonts w:eastAsia="仿宋_GB2312"/>
          <w:szCs w:val="20"/>
        </w:rPr>
        <w:t>个自然日，作为发生质量争议时的处理依据。</w:t>
      </w:r>
    </w:p>
    <w:p w:rsidR="005B59A3" w:rsidRDefault="005B59A3" w:rsidP="005B59A3">
      <w:pPr>
        <w:ind w:firstLine="640"/>
        <w:rPr>
          <w:rFonts w:eastAsia="仿宋_GB2312"/>
          <w:szCs w:val="20"/>
        </w:rPr>
      </w:pPr>
      <w:r>
        <w:rPr>
          <w:rFonts w:eastAsia="仿宋_GB2312"/>
          <w:szCs w:val="20"/>
        </w:rPr>
        <w:t>6.</w:t>
      </w:r>
      <w:r>
        <w:rPr>
          <w:rFonts w:eastAsia="仿宋_GB2312"/>
          <w:szCs w:val="20"/>
        </w:rPr>
        <w:t>串换库和甲方应妥善保管商品发货和提货的单据，作为解决纠纷的依据。</w:t>
      </w:r>
    </w:p>
    <w:p w:rsidR="005B59A3" w:rsidRDefault="005B59A3" w:rsidP="005B59A3">
      <w:pPr>
        <w:ind w:firstLine="640"/>
        <w:rPr>
          <w:rFonts w:eastAsia="仿宋_GB2312"/>
          <w:szCs w:val="20"/>
        </w:rPr>
      </w:pPr>
      <w:r>
        <w:rPr>
          <w:rFonts w:eastAsia="仿宋_GB2312"/>
          <w:szCs w:val="20"/>
        </w:rPr>
        <w:t>7.</w:t>
      </w:r>
      <w:r>
        <w:rPr>
          <w:rFonts w:eastAsia="仿宋_GB2312"/>
          <w:szCs w:val="20"/>
        </w:rPr>
        <w:t>货主和串换库经双方协商同意，可以另行确定发货时间、发货速度、货物品质等内容。</w:t>
      </w:r>
    </w:p>
    <w:p w:rsidR="005B59A3" w:rsidRDefault="005B59A3" w:rsidP="005B59A3">
      <w:pPr>
        <w:ind w:firstLine="643"/>
        <w:rPr>
          <w:rFonts w:eastAsia="楷体"/>
          <w:b/>
          <w:bCs/>
          <w:szCs w:val="20"/>
        </w:rPr>
      </w:pPr>
      <w:r>
        <w:rPr>
          <w:rFonts w:eastAsia="楷体"/>
          <w:b/>
          <w:bCs/>
          <w:szCs w:val="20"/>
        </w:rPr>
        <w:t>（二）违约责任</w:t>
      </w:r>
    </w:p>
    <w:p w:rsidR="005B59A3" w:rsidRDefault="005B59A3" w:rsidP="005B59A3">
      <w:pPr>
        <w:ind w:firstLine="640"/>
        <w:rPr>
          <w:rFonts w:eastAsia="仿宋_GB2312"/>
          <w:szCs w:val="20"/>
        </w:rPr>
      </w:pPr>
      <w:r>
        <w:rPr>
          <w:rFonts w:eastAsia="仿宋_GB2312"/>
          <w:szCs w:val="20"/>
        </w:rPr>
        <w:t>1.</w:t>
      </w:r>
      <w:r>
        <w:rPr>
          <w:rFonts w:eastAsia="仿宋_GB2312"/>
          <w:szCs w:val="20"/>
        </w:rPr>
        <w:t>因串换库自身原因，未能在</w:t>
      </w:r>
      <w:r>
        <w:rPr>
          <w:rFonts w:eastAsia="仿宋_GB2312"/>
          <w:szCs w:val="20"/>
        </w:rPr>
        <w:t>10</w:t>
      </w:r>
      <w:r>
        <w:rPr>
          <w:rFonts w:eastAsia="仿宋_GB2312"/>
          <w:szCs w:val="20"/>
        </w:rPr>
        <w:t>个工作日内完成发货的，串换库应向货主支付滞纳金，直至该批货物发货完毕。因货主原因，未能在</w:t>
      </w:r>
      <w:r>
        <w:rPr>
          <w:rFonts w:eastAsia="仿宋_GB2312"/>
          <w:szCs w:val="20"/>
        </w:rPr>
        <w:t>10</w:t>
      </w:r>
      <w:r>
        <w:rPr>
          <w:rFonts w:eastAsia="仿宋_GB2312"/>
          <w:szCs w:val="20"/>
        </w:rPr>
        <w:t>个工作日内完成提货的，货主应向串换库支付滞纳金，直至该批货物发货完毕。</w:t>
      </w:r>
    </w:p>
    <w:p w:rsidR="005B59A3" w:rsidRDefault="005B59A3" w:rsidP="005B59A3">
      <w:pPr>
        <w:ind w:firstLine="640"/>
        <w:rPr>
          <w:rFonts w:eastAsia="仿宋_GB2312"/>
          <w:szCs w:val="20"/>
        </w:rPr>
      </w:pPr>
      <w:r>
        <w:rPr>
          <w:rFonts w:eastAsia="仿宋_GB2312"/>
          <w:szCs w:val="20"/>
        </w:rPr>
        <w:lastRenderedPageBreak/>
        <w:t>滞纳金金额</w:t>
      </w:r>
      <w:r>
        <w:rPr>
          <w:rFonts w:eastAsia="仿宋_GB2312"/>
          <w:szCs w:val="20"/>
        </w:rPr>
        <w:t>=2</w:t>
      </w:r>
      <w:r>
        <w:rPr>
          <w:rFonts w:eastAsia="仿宋_GB2312"/>
          <w:szCs w:val="20"/>
        </w:rPr>
        <w:t>元</w:t>
      </w:r>
      <w:r>
        <w:rPr>
          <w:rFonts w:eastAsia="仿宋_GB2312"/>
          <w:szCs w:val="20"/>
        </w:rPr>
        <w:t>/</w:t>
      </w:r>
      <w:r>
        <w:rPr>
          <w:rFonts w:eastAsia="仿宋_GB2312"/>
          <w:szCs w:val="20"/>
        </w:rPr>
        <w:t>吨</w:t>
      </w:r>
      <w:r>
        <w:rPr>
          <w:rFonts w:eastAsia="仿宋_GB2312"/>
          <w:szCs w:val="20"/>
        </w:rPr>
        <w:t>•</w:t>
      </w:r>
      <w:r>
        <w:rPr>
          <w:rFonts w:eastAsia="仿宋_GB2312"/>
          <w:szCs w:val="20"/>
        </w:rPr>
        <w:t>天</w:t>
      </w:r>
      <w:r>
        <w:rPr>
          <w:rFonts w:eastAsia="仿宋_GB2312"/>
          <w:szCs w:val="20"/>
        </w:rPr>
        <w:t>×</w:t>
      </w:r>
      <w:r>
        <w:rPr>
          <w:rFonts w:eastAsia="仿宋_GB2312"/>
          <w:szCs w:val="20"/>
        </w:rPr>
        <w:t>应提而未提的商品数量</w:t>
      </w:r>
      <w:r>
        <w:rPr>
          <w:rFonts w:eastAsia="仿宋_GB2312"/>
          <w:szCs w:val="20"/>
        </w:rPr>
        <w:t>×</w:t>
      </w:r>
      <w:r>
        <w:rPr>
          <w:rFonts w:eastAsia="仿宋_GB2312"/>
          <w:szCs w:val="20"/>
        </w:rPr>
        <w:t>该批商品的滞留天数</w:t>
      </w:r>
    </w:p>
    <w:p w:rsidR="005B59A3" w:rsidRDefault="005B59A3" w:rsidP="005B59A3">
      <w:pPr>
        <w:ind w:firstLine="640"/>
        <w:rPr>
          <w:rFonts w:eastAsia="仿宋_GB2312"/>
          <w:szCs w:val="20"/>
        </w:rPr>
      </w:pPr>
      <w:r>
        <w:rPr>
          <w:rFonts w:eastAsia="仿宋_GB2312"/>
          <w:szCs w:val="20"/>
        </w:rPr>
        <w:t>2.</w:t>
      </w:r>
      <w:r>
        <w:rPr>
          <w:rFonts w:eastAsia="仿宋_GB2312"/>
          <w:szCs w:val="20"/>
        </w:rPr>
        <w:t>如货主实际的提货量或提货运输方式与货主通知串换库的拟提货量或提货运输方式不符的，串换库有权根据实际情况自主安排不符部分的发货数量，由此造成的串换库不能按照规定时间发货的，串换库不承担违约责任。</w:t>
      </w:r>
    </w:p>
    <w:p w:rsidR="005B59A3" w:rsidRDefault="005B59A3" w:rsidP="005B59A3">
      <w:pPr>
        <w:ind w:firstLine="640"/>
        <w:rPr>
          <w:rFonts w:eastAsia="仿宋_GB2312"/>
          <w:szCs w:val="20"/>
        </w:rPr>
      </w:pPr>
      <w:r>
        <w:rPr>
          <w:rFonts w:eastAsia="仿宋_GB2312"/>
          <w:szCs w:val="20"/>
        </w:rPr>
        <w:t>如货主通知串换库的拟提货量及提货运输方式与实际的提货量及提货运输方式存在重大不符达到三次的，串换库有权以书面通知的形式向货主告知其本次仓单串换业务项下剩余未发货物的发货时间，最晚应在签订串换协议后的</w:t>
      </w:r>
      <w:r>
        <w:rPr>
          <w:rFonts w:eastAsia="仿宋_GB2312"/>
          <w:szCs w:val="20"/>
        </w:rPr>
        <w:t>30</w:t>
      </w:r>
      <w:r>
        <w:rPr>
          <w:rFonts w:eastAsia="仿宋_GB2312"/>
          <w:szCs w:val="20"/>
        </w:rPr>
        <w:t>日内完成发货。</w:t>
      </w:r>
    </w:p>
    <w:p w:rsidR="005B59A3" w:rsidRDefault="005B59A3" w:rsidP="005B59A3">
      <w:pPr>
        <w:ind w:firstLine="640"/>
        <w:rPr>
          <w:rFonts w:eastAsia="仿宋_GB2312"/>
          <w:szCs w:val="20"/>
        </w:rPr>
      </w:pPr>
      <w:r>
        <w:rPr>
          <w:rFonts w:eastAsia="仿宋_GB2312"/>
          <w:szCs w:val="20"/>
        </w:rPr>
        <w:t>3.</w:t>
      </w:r>
      <w:r>
        <w:rPr>
          <w:rFonts w:eastAsia="仿宋_GB2312"/>
          <w:szCs w:val="20"/>
        </w:rPr>
        <w:t>因天气原因导致无法装卸时，串换库和货主不需支付滞纳金。</w:t>
      </w:r>
    </w:p>
    <w:p w:rsidR="005B59A3" w:rsidRDefault="005B59A3" w:rsidP="005B59A3">
      <w:pPr>
        <w:ind w:firstLine="640"/>
        <w:rPr>
          <w:rFonts w:eastAsia="仿宋_GB2312"/>
          <w:szCs w:val="20"/>
        </w:rPr>
      </w:pPr>
      <w:r>
        <w:rPr>
          <w:rFonts w:eastAsia="仿宋_GB2312"/>
          <w:szCs w:val="20"/>
        </w:rPr>
        <w:t>4.</w:t>
      </w:r>
      <w:r>
        <w:rPr>
          <w:rFonts w:eastAsia="仿宋_GB2312"/>
          <w:szCs w:val="20"/>
        </w:rPr>
        <w:t>串换库未按本流程规定进行检验、检重、发货时，造成货主损失的，由签署串换协议的串换库承担违约责任。</w:t>
      </w:r>
    </w:p>
    <w:p w:rsidR="005B59A3" w:rsidRDefault="005B59A3" w:rsidP="005B59A3">
      <w:pPr>
        <w:ind w:firstLine="640"/>
        <w:rPr>
          <w:rFonts w:eastAsia="仿宋_GB2312"/>
          <w:szCs w:val="20"/>
        </w:rPr>
      </w:pPr>
      <w:r>
        <w:rPr>
          <w:rFonts w:eastAsia="仿宋_GB2312"/>
          <w:szCs w:val="20"/>
        </w:rPr>
        <w:t>5.</w:t>
      </w:r>
      <w:r>
        <w:rPr>
          <w:rFonts w:eastAsia="仿宋_GB2312"/>
          <w:szCs w:val="20"/>
        </w:rPr>
        <w:t>质量异议期限及检验：</w:t>
      </w:r>
    </w:p>
    <w:p w:rsidR="005B59A3" w:rsidRDefault="005B59A3" w:rsidP="005B59A3">
      <w:pPr>
        <w:ind w:firstLine="640"/>
        <w:rPr>
          <w:rFonts w:eastAsia="仿宋_GB2312"/>
          <w:szCs w:val="20"/>
        </w:rPr>
      </w:pPr>
      <w:r>
        <w:rPr>
          <w:rFonts w:eastAsia="仿宋_GB2312"/>
          <w:szCs w:val="20"/>
        </w:rPr>
        <w:t>商品出库时，货主应到库监收监发。货主不到库监收监发的，则视为货主对串换库所发的实物重量、质量没有异议。</w:t>
      </w:r>
    </w:p>
    <w:p w:rsidR="005B59A3" w:rsidRDefault="005B59A3" w:rsidP="005B59A3">
      <w:pPr>
        <w:ind w:firstLine="640"/>
        <w:rPr>
          <w:rFonts w:eastAsia="仿宋_GB2312"/>
          <w:szCs w:val="20"/>
        </w:rPr>
      </w:pPr>
      <w:r>
        <w:rPr>
          <w:rFonts w:eastAsia="仿宋_GB2312"/>
          <w:szCs w:val="20"/>
        </w:rPr>
        <w:t>货主对出库商品质量有异议的，首先与串换库协商解决。协商不成的，货主应当在发货日起</w:t>
      </w:r>
      <w:r>
        <w:rPr>
          <w:rFonts w:eastAsia="仿宋_GB2312"/>
          <w:szCs w:val="20"/>
        </w:rPr>
        <w:t>10</w:t>
      </w:r>
      <w:r>
        <w:rPr>
          <w:rFonts w:eastAsia="仿宋_GB2312"/>
          <w:szCs w:val="20"/>
        </w:rPr>
        <w:t>个工作日内以书面形式向大连商品交易所提出质量异议。未在规定时间内提出异议的，视为货主认可出库商品质量。</w:t>
      </w:r>
    </w:p>
    <w:p w:rsidR="005B59A3" w:rsidRDefault="005B59A3" w:rsidP="005B59A3">
      <w:pPr>
        <w:ind w:firstLine="640"/>
        <w:rPr>
          <w:rFonts w:eastAsia="仿宋_GB2312"/>
          <w:szCs w:val="20"/>
        </w:rPr>
      </w:pPr>
      <w:r>
        <w:rPr>
          <w:rFonts w:eastAsia="仿宋_GB2312"/>
          <w:szCs w:val="20"/>
        </w:rPr>
        <w:lastRenderedPageBreak/>
        <w:t>当货主与串换库就出库商品的检验结果发生争议时，由大连商品交易所指定的质量检验机构进行复检，复检结果为解决争议的依据。复检费用由货主先行垫付。复检结果与串换库的检验结果相符，由此产生的一切费用（检验费和差旅费等）和损失由货主负担；复检结果与串换库的检验结果不相符，由此产生的一切费用（检验费和差旅费等）和损失由串换库负担。</w:t>
      </w:r>
    </w:p>
    <w:p w:rsidR="005B59A3" w:rsidRDefault="005B59A3" w:rsidP="005B59A3">
      <w:pPr>
        <w:ind w:firstLine="640"/>
        <w:rPr>
          <w:rFonts w:eastAsia="黑体"/>
          <w:szCs w:val="20"/>
        </w:rPr>
      </w:pPr>
      <w:r>
        <w:rPr>
          <w:rFonts w:eastAsia="黑体"/>
          <w:szCs w:val="20"/>
        </w:rPr>
        <w:t>四、仓单串仓单的要求及违约责任</w:t>
      </w:r>
    </w:p>
    <w:p w:rsidR="005B59A3" w:rsidRDefault="005B59A3" w:rsidP="005B59A3">
      <w:pPr>
        <w:ind w:firstLine="643"/>
        <w:rPr>
          <w:rFonts w:eastAsia="楷体"/>
          <w:b/>
          <w:bCs/>
          <w:szCs w:val="20"/>
        </w:rPr>
      </w:pPr>
      <w:r>
        <w:rPr>
          <w:rFonts w:eastAsia="楷体"/>
          <w:b/>
          <w:bCs/>
          <w:szCs w:val="20"/>
        </w:rPr>
        <w:t>（一）要求</w:t>
      </w:r>
    </w:p>
    <w:p w:rsidR="005B59A3" w:rsidRDefault="005B59A3" w:rsidP="005B59A3">
      <w:pPr>
        <w:ind w:firstLine="640"/>
        <w:jc w:val="left"/>
        <w:rPr>
          <w:rFonts w:eastAsia="仿宋_GB2312"/>
          <w:color w:val="000000"/>
          <w:szCs w:val="32"/>
        </w:rPr>
      </w:pPr>
      <w:r>
        <w:rPr>
          <w:rFonts w:eastAsia="仿宋_GB2312"/>
          <w:color w:val="000000"/>
          <w:szCs w:val="32"/>
        </w:rPr>
        <w:t>仓单串仓单的，串入仓库在签订串换协议后</w:t>
      </w:r>
      <w:r>
        <w:rPr>
          <w:rFonts w:eastAsia="仿宋_GB2312"/>
          <w:color w:val="000000"/>
          <w:szCs w:val="32"/>
        </w:rPr>
        <w:t>10</w:t>
      </w:r>
      <w:r>
        <w:rPr>
          <w:rFonts w:eastAsia="仿宋_GB2312"/>
          <w:color w:val="000000"/>
          <w:szCs w:val="32"/>
        </w:rPr>
        <w:t>个工作日内完成串换客户的仓单注册。仓单串仓单的，按照期货仓单注销要求发货。</w:t>
      </w:r>
    </w:p>
    <w:p w:rsidR="005B59A3" w:rsidRDefault="005B59A3" w:rsidP="005B59A3">
      <w:pPr>
        <w:ind w:firstLine="643"/>
        <w:rPr>
          <w:rFonts w:eastAsia="楷体"/>
          <w:b/>
          <w:bCs/>
          <w:szCs w:val="20"/>
        </w:rPr>
      </w:pPr>
      <w:r>
        <w:rPr>
          <w:rFonts w:eastAsia="楷体"/>
          <w:b/>
          <w:bCs/>
          <w:szCs w:val="20"/>
        </w:rPr>
        <w:t>（二）违约责任</w:t>
      </w:r>
    </w:p>
    <w:p w:rsidR="005B59A3" w:rsidRDefault="005B59A3" w:rsidP="005B59A3">
      <w:pPr>
        <w:ind w:firstLine="640"/>
        <w:rPr>
          <w:rFonts w:eastAsia="仿宋_GB2312"/>
          <w:szCs w:val="20"/>
        </w:rPr>
      </w:pPr>
      <w:r>
        <w:rPr>
          <w:rFonts w:eastAsia="仿宋_GB2312"/>
          <w:szCs w:val="20"/>
        </w:rPr>
        <w:t>因串换库原因，未能在规定时间内完成串换客户仓单注册的，串换库应当向串换客户方支付违约金：违约金的金额</w:t>
      </w:r>
      <w:r>
        <w:rPr>
          <w:rFonts w:eastAsia="仿宋_GB2312"/>
          <w:szCs w:val="20"/>
        </w:rPr>
        <w:t>=</w:t>
      </w:r>
      <w:r>
        <w:rPr>
          <w:rFonts w:eastAsia="仿宋_GB2312"/>
          <w:szCs w:val="20"/>
        </w:rPr>
        <w:t>该商品最近已交割月份交割结算价</w:t>
      </w:r>
      <w:r>
        <w:rPr>
          <w:rFonts w:eastAsia="仿宋_GB2312"/>
          <w:szCs w:val="20"/>
        </w:rPr>
        <w:t>×</w:t>
      </w:r>
      <w:r>
        <w:rPr>
          <w:rFonts w:eastAsia="仿宋_GB2312"/>
          <w:szCs w:val="20"/>
        </w:rPr>
        <w:t>协议中的仓单串换数量</w:t>
      </w:r>
      <w:r>
        <w:rPr>
          <w:rFonts w:eastAsia="仿宋_GB2312"/>
          <w:szCs w:val="20"/>
        </w:rPr>
        <w:t>×10%</w:t>
      </w:r>
      <w:r>
        <w:rPr>
          <w:rFonts w:eastAsia="仿宋_GB2312"/>
          <w:szCs w:val="20"/>
        </w:rPr>
        <w:t>。支付违约金后，串换协议自动终止。</w:t>
      </w:r>
    </w:p>
    <w:p w:rsidR="005B59A3" w:rsidRDefault="005B59A3" w:rsidP="005B59A3">
      <w:pPr>
        <w:ind w:firstLine="640"/>
        <w:rPr>
          <w:rFonts w:eastAsia="黑体"/>
          <w:szCs w:val="20"/>
        </w:rPr>
      </w:pPr>
      <w:r>
        <w:rPr>
          <w:rFonts w:eastAsia="黑体"/>
          <w:szCs w:val="20"/>
        </w:rPr>
        <w:t>五、其他规定</w:t>
      </w:r>
    </w:p>
    <w:p w:rsidR="00586254" w:rsidRPr="007012FC" w:rsidRDefault="005B59A3" w:rsidP="007012FC">
      <w:pPr>
        <w:ind w:firstLine="640"/>
        <w:rPr>
          <w:rFonts w:eastAsia="仿宋_GB2312" w:hint="eastAsia"/>
          <w:szCs w:val="20"/>
        </w:rPr>
      </w:pPr>
      <w:r>
        <w:rPr>
          <w:rFonts w:eastAsia="仿宋_GB2312"/>
          <w:szCs w:val="20"/>
        </w:rPr>
        <w:t>签署串换协议后，任何一方违反约定（包括但不限于未按协议约定支付串换费用等）造成串换协议无法履行，且上述串换业务流程中未规定违约后果的，违约方应当向守约方支付违约金：违约金的金额</w:t>
      </w:r>
      <w:r>
        <w:rPr>
          <w:rFonts w:eastAsia="仿宋_GB2312"/>
          <w:szCs w:val="20"/>
        </w:rPr>
        <w:t>=</w:t>
      </w:r>
      <w:r>
        <w:rPr>
          <w:rFonts w:eastAsia="仿宋_GB2312"/>
          <w:szCs w:val="20"/>
        </w:rPr>
        <w:t>该商品最近已交割月份交割结算价</w:t>
      </w:r>
      <w:r>
        <w:rPr>
          <w:rFonts w:eastAsia="仿宋_GB2312"/>
          <w:szCs w:val="20"/>
        </w:rPr>
        <w:t>×</w:t>
      </w:r>
      <w:r>
        <w:rPr>
          <w:rFonts w:eastAsia="仿宋_GB2312"/>
          <w:szCs w:val="20"/>
        </w:rPr>
        <w:t>协议中的仓单串换数量</w:t>
      </w:r>
      <w:r>
        <w:rPr>
          <w:rFonts w:eastAsia="仿宋_GB2312"/>
          <w:szCs w:val="20"/>
        </w:rPr>
        <w:t>×10%</w:t>
      </w:r>
      <w:r>
        <w:rPr>
          <w:rFonts w:eastAsia="仿宋_GB2312"/>
          <w:szCs w:val="20"/>
        </w:rPr>
        <w:t>。支付违约金后，串换协议自动终止。</w:t>
      </w:r>
      <w:bookmarkStart w:id="0" w:name="_GoBack"/>
      <w:bookmarkEnd w:id="0"/>
    </w:p>
    <w:sectPr w:rsidR="00586254" w:rsidRPr="007012FC" w:rsidSect="007012FC">
      <w:headerReference w:type="even" r:id="rId6"/>
      <w:headerReference w:type="default" r:id="rId7"/>
      <w:footerReference w:type="even" r:id="rId8"/>
      <w:footerReference w:type="default" r:id="rId9"/>
      <w:headerReference w:type="first" r:id="rId10"/>
      <w:footerReference w:type="first" r:id="rId11"/>
      <w:pgSz w:w="11906" w:h="16838"/>
      <w:pgMar w:top="2098" w:right="1588" w:bottom="1718"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A98" w:rsidRDefault="001F0A98" w:rsidP="001F0A98">
      <w:pPr>
        <w:spacing w:line="240" w:lineRule="auto"/>
        <w:ind w:firstLine="640"/>
      </w:pPr>
      <w:r>
        <w:separator/>
      </w:r>
    </w:p>
  </w:endnote>
  <w:endnote w:type="continuationSeparator" w:id="0">
    <w:p w:rsidR="001F0A98" w:rsidRDefault="001F0A98" w:rsidP="001F0A9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98" w:rsidRDefault="001F0A98">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697581"/>
      <w:docPartObj>
        <w:docPartGallery w:val="Page Numbers (Bottom of Page)"/>
        <w:docPartUnique/>
      </w:docPartObj>
    </w:sdtPr>
    <w:sdtEndPr/>
    <w:sdtContent>
      <w:p w:rsidR="001F0A98" w:rsidRDefault="001F0A98">
        <w:pPr>
          <w:pStyle w:val="a6"/>
          <w:ind w:firstLine="360"/>
          <w:jc w:val="center"/>
        </w:pPr>
        <w:r>
          <w:fldChar w:fldCharType="begin"/>
        </w:r>
        <w:r>
          <w:instrText>PAGE   \* MERGEFORMAT</w:instrText>
        </w:r>
        <w:r>
          <w:fldChar w:fldCharType="separate"/>
        </w:r>
        <w:r w:rsidR="007012FC" w:rsidRPr="007012FC">
          <w:rPr>
            <w:noProof/>
            <w:lang w:val="zh-CN"/>
          </w:rPr>
          <w:t>7</w:t>
        </w:r>
        <w:r>
          <w:fldChar w:fldCharType="end"/>
        </w:r>
      </w:p>
    </w:sdtContent>
  </w:sdt>
  <w:p w:rsidR="001F0A98" w:rsidRDefault="001F0A98">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98" w:rsidRDefault="001F0A98">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A98" w:rsidRDefault="001F0A98" w:rsidP="001F0A98">
      <w:pPr>
        <w:spacing w:line="240" w:lineRule="auto"/>
        <w:ind w:firstLine="640"/>
      </w:pPr>
      <w:r>
        <w:separator/>
      </w:r>
    </w:p>
  </w:footnote>
  <w:footnote w:type="continuationSeparator" w:id="0">
    <w:p w:rsidR="001F0A98" w:rsidRDefault="001F0A98" w:rsidP="001F0A98">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98" w:rsidRDefault="001F0A98">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98" w:rsidRDefault="001F0A98" w:rsidP="007012FC">
    <w:pPr>
      <w:pStyle w:val="a4"/>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98" w:rsidRDefault="001F0A98">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A3"/>
    <w:rsid w:val="001F0A98"/>
    <w:rsid w:val="00586254"/>
    <w:rsid w:val="005B59A3"/>
    <w:rsid w:val="00701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7A205"/>
  <w15:chartTrackingRefBased/>
  <w15:docId w15:val="{D02ED25E-A225-454C-B244-BBA04ECA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9A3"/>
    <w:pPr>
      <w:adjustRightInd w:val="0"/>
      <w:snapToGrid w:val="0"/>
      <w:spacing w:line="580" w:lineRule="exact"/>
      <w:ind w:firstLineChars="200" w:firstLine="200"/>
      <w:jc w:val="both"/>
    </w:pPr>
    <w:rPr>
      <w:rFonts w:ascii="Times New Roman" w:eastAsia="宋体"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交易所标题"/>
    <w:basedOn w:val="a"/>
    <w:qFormat/>
    <w:rsid w:val="005B59A3"/>
    <w:pPr>
      <w:widowControl w:val="0"/>
      <w:spacing w:line="240" w:lineRule="auto"/>
      <w:ind w:firstLineChars="0" w:firstLine="0"/>
      <w:jc w:val="center"/>
      <w:outlineLvl w:val="0"/>
    </w:pPr>
    <w:rPr>
      <w:rFonts w:ascii="宋体" w:hAnsi="宋体" w:cs="黑体"/>
      <w:b/>
      <w:sz w:val="40"/>
      <w:szCs w:val="40"/>
    </w:rPr>
  </w:style>
  <w:style w:type="paragraph" w:styleId="a4">
    <w:name w:val="header"/>
    <w:basedOn w:val="a"/>
    <w:link w:val="a5"/>
    <w:uiPriority w:val="99"/>
    <w:unhideWhenUsed/>
    <w:rsid w:val="001F0A98"/>
    <w:pPr>
      <w:pBdr>
        <w:bottom w:val="single" w:sz="6" w:space="1" w:color="auto"/>
      </w:pBdr>
      <w:tabs>
        <w:tab w:val="center" w:pos="4153"/>
        <w:tab w:val="right" w:pos="8306"/>
      </w:tabs>
      <w:spacing w:line="240" w:lineRule="atLeast"/>
      <w:jc w:val="center"/>
    </w:pPr>
    <w:rPr>
      <w:sz w:val="18"/>
      <w:szCs w:val="18"/>
    </w:rPr>
  </w:style>
  <w:style w:type="character" w:customStyle="1" w:styleId="a5">
    <w:name w:val="页眉 字符"/>
    <w:basedOn w:val="a0"/>
    <w:link w:val="a4"/>
    <w:uiPriority w:val="99"/>
    <w:rsid w:val="001F0A98"/>
    <w:rPr>
      <w:rFonts w:ascii="Times New Roman" w:eastAsia="宋体" w:hAnsi="Times New Roman" w:cs="Times New Roman"/>
      <w:sz w:val="18"/>
      <w:szCs w:val="18"/>
    </w:rPr>
  </w:style>
  <w:style w:type="paragraph" w:styleId="a6">
    <w:name w:val="footer"/>
    <w:basedOn w:val="a"/>
    <w:link w:val="a7"/>
    <w:uiPriority w:val="99"/>
    <w:unhideWhenUsed/>
    <w:rsid w:val="001F0A98"/>
    <w:pPr>
      <w:tabs>
        <w:tab w:val="center" w:pos="4153"/>
        <w:tab w:val="right" w:pos="8306"/>
      </w:tabs>
      <w:spacing w:line="240" w:lineRule="atLeast"/>
      <w:jc w:val="left"/>
    </w:pPr>
    <w:rPr>
      <w:sz w:val="18"/>
      <w:szCs w:val="18"/>
    </w:rPr>
  </w:style>
  <w:style w:type="character" w:customStyle="1" w:styleId="a7">
    <w:name w:val="页脚 字符"/>
    <w:basedOn w:val="a0"/>
    <w:link w:val="a6"/>
    <w:uiPriority w:val="99"/>
    <w:rsid w:val="001F0A9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1579</Words>
  <Characters>1707</Characters>
  <Application>Microsoft Office Word</Application>
  <DocSecurity>0</DocSecurity>
  <Lines>155</Lines>
  <Paragraphs>136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谭健</dc:creator>
  <cp:keywords/>
  <dc:description/>
  <cp:lastModifiedBy>王皓如</cp:lastModifiedBy>
  <cp:revision>3</cp:revision>
  <dcterms:created xsi:type="dcterms:W3CDTF">2020-10-30T07:58:00Z</dcterms:created>
  <dcterms:modified xsi:type="dcterms:W3CDTF">2020-10-30T08:59:00Z</dcterms:modified>
</cp:coreProperties>
</file>