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E159" w14:textId="77777777" w:rsidR="00DB358F" w:rsidRPr="00DB358F" w:rsidRDefault="00DB358F" w:rsidP="00DB358F">
      <w:pPr>
        <w:widowControl/>
        <w:adjustRightInd w:val="0"/>
        <w:snapToGrid w:val="0"/>
        <w:spacing w:line="580" w:lineRule="exact"/>
        <w:jc w:val="left"/>
        <w:rPr>
          <w:rFonts w:ascii="黑体" w:eastAsia="黑体" w:hAnsi="黑体"/>
          <w:kern w:val="0"/>
          <w:sz w:val="32"/>
          <w:szCs w:val="32"/>
        </w:rPr>
      </w:pPr>
      <w:r w:rsidRPr="00DB358F">
        <w:rPr>
          <w:rFonts w:ascii="黑体" w:eastAsia="黑体" w:hAnsi="黑体" w:hint="eastAsia"/>
          <w:kern w:val="0"/>
          <w:sz w:val="32"/>
          <w:szCs w:val="32"/>
        </w:rPr>
        <w:t>附件2</w:t>
      </w:r>
    </w:p>
    <w:p w14:paraId="5E5B09DE" w14:textId="77777777" w:rsidR="00DB358F" w:rsidRPr="002C249B" w:rsidRDefault="00DB358F" w:rsidP="00DB358F">
      <w:pPr>
        <w:widowControl/>
        <w:adjustRightInd w:val="0"/>
        <w:snapToGrid w:val="0"/>
        <w:spacing w:line="580" w:lineRule="exact"/>
        <w:jc w:val="left"/>
        <w:rPr>
          <w:rFonts w:eastAsia="仿宋_GB2312"/>
          <w:kern w:val="0"/>
          <w:sz w:val="32"/>
          <w:szCs w:val="32"/>
        </w:rPr>
      </w:pPr>
    </w:p>
    <w:p w14:paraId="6596711F" w14:textId="77777777" w:rsidR="00DB358F" w:rsidRPr="002C249B" w:rsidRDefault="00DB358F" w:rsidP="00DB358F">
      <w:pPr>
        <w:widowControl/>
        <w:adjustRightInd w:val="0"/>
        <w:snapToGrid w:val="0"/>
        <w:spacing w:line="580" w:lineRule="exact"/>
        <w:jc w:val="left"/>
        <w:rPr>
          <w:rFonts w:ascii="宋体" w:hAnsi="宋体"/>
          <w:b/>
          <w:kern w:val="0"/>
          <w:sz w:val="44"/>
          <w:szCs w:val="44"/>
          <w:shd w:val="clear" w:color="auto" w:fill="FFFFFF"/>
        </w:rPr>
      </w:pPr>
      <w:r w:rsidRPr="002C249B">
        <w:rPr>
          <w:rFonts w:ascii="宋体" w:hAnsi="宋体" w:hint="eastAsia"/>
          <w:b/>
          <w:kern w:val="0"/>
          <w:sz w:val="44"/>
          <w:szCs w:val="44"/>
          <w:shd w:val="clear" w:color="auto" w:fill="FFFFFF"/>
        </w:rPr>
        <w:t>《大连商品交易所风险管理办法》修订稿</w:t>
      </w:r>
    </w:p>
    <w:p w14:paraId="577EAC8B"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第一章 总则</w:t>
      </w:r>
    </w:p>
    <w:p w14:paraId="31AE3B1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第一条 为了加强期货交易风险管理，维护期货交易各方的合法权益，保证大连商品交易所(以下简称交易所)期货交易正常的进行，根据《大连商品交易所交易规则》，制定本办法。</w:t>
      </w:r>
    </w:p>
    <w:p w14:paraId="041ED9F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第二条 交易所风险管理实行保证金制度、涨跌停板制度、限仓制度、交易限额制度、大户报告制度、强行平仓制度和风险警示制度。</w:t>
      </w:r>
    </w:p>
    <w:p w14:paraId="2E9BEFE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第三条 交易所、会员、境外经纪机构和客户必须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14:paraId="2F4F6CB3"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第二章 保证金制度</w:t>
      </w:r>
    </w:p>
    <w:p w14:paraId="1509EB9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第四条 交易所实行保证金制度。各品种期货合约的最低交易保证金为合约价值的5%。</w:t>
      </w:r>
    </w:p>
    <w:p w14:paraId="389ED9A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新开仓交易保证金按前一交易日结算时交易保证金收取。</w:t>
      </w:r>
    </w:p>
    <w:p w14:paraId="41112D3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交易所可以根据市场情况调整各合约交易保证金标准。</w:t>
      </w:r>
    </w:p>
    <w:p w14:paraId="4B017F3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第五条 自交易所上市的商品期货合约进入交割月份前一个月第十五个交易日起，交易所将分时间段逐步提高该合约的</w:t>
      </w:r>
      <w:r w:rsidRPr="002C249B">
        <w:rPr>
          <w:rFonts w:ascii="仿宋_GB2312" w:eastAsia="仿宋_GB2312" w:hAnsi="宋体" w:cs="宋体" w:hint="eastAsia"/>
          <w:kern w:val="0"/>
          <w:sz w:val="32"/>
          <w:szCs w:val="32"/>
        </w:rPr>
        <w:lastRenderedPageBreak/>
        <w:t>交易保证金。合约在某一交易时间段的交易保证金标准自该交易时间段起始日前一交易日结算时起执行。</w:t>
      </w:r>
    </w:p>
    <w:p w14:paraId="137B073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交易所上市的商品期货合约临近交割期时交易保证金收取标准为：</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4870"/>
        <w:gridCol w:w="2790"/>
      </w:tblGrid>
      <w:tr w:rsidR="00DB358F" w:rsidRPr="002C249B" w14:paraId="2DD11AED" w14:textId="77777777" w:rsidTr="00516F7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D0FB2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交易时间段</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02B7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交易保证金(元/手)</w:t>
            </w:r>
          </w:p>
        </w:tc>
      </w:tr>
      <w:tr w:rsidR="00DB358F" w:rsidRPr="002C249B" w14:paraId="5059C635" w14:textId="77777777" w:rsidTr="00516F7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02B8B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交割月份前一个月第十五个交易日</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4E3F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合约价值的10%</w:t>
            </w:r>
          </w:p>
        </w:tc>
      </w:tr>
      <w:tr w:rsidR="00DB358F" w:rsidRPr="002C249B" w14:paraId="0BF5B133" w14:textId="77777777" w:rsidTr="00516F7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15AC6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交割月份第一个交易日</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84D54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合约价值的20%</w:t>
            </w:r>
          </w:p>
        </w:tc>
      </w:tr>
    </w:tbl>
    <w:p w14:paraId="6B9BA6C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第六条 交易所可根据合约持仓量的增加提高交易保证金标准，并向市场公布。</w:t>
      </w:r>
    </w:p>
    <w:p w14:paraId="4D5AE5E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第七条 交易所可以分时间段根据合约持仓量的变化调整该合约的交易保证金。</w:t>
      </w:r>
    </w:p>
    <w:p w14:paraId="3333C53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对于乙二醇期货合约，自交割月前一个月第一个交易日至该月第十四个交易日期间，若某日结算时该合约的单边持仓量达到120,000手及以上，则自当日结算时至该月第十四个交易日结算时，该合约的交易保证金按照合约价值的10%收取。自交割月前一个月第十五个交易日至该月最后一个交易日期间，若某日结算时该合约的单边持仓量达到80,000手及以上，则自当日结算时至该月最后一个交易日结算时，该合约的交易保证金按照合约价值的20%收取。</w:t>
      </w:r>
    </w:p>
    <w:p w14:paraId="6420813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第八条 当某期货合约出现涨跌停板的情况，则该期货合约的交易保证金按本办法第三章的有关规定执行。</w:t>
      </w:r>
    </w:p>
    <w:p w14:paraId="4E0A702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第九条 当某期货合约连续三个交易日按结算价计算的涨（跌）幅之和达到合约规定的最大涨跌幅的2倍，连续四个交易日按结算价计算的涨（跌）幅之和达到合约规定的最大涨跌幅的2.5倍，连续五个交易日按结算价计算的涨（跌）幅之和达到合约规定的最大涨跌幅的3倍时，交易所有权根据市场情况，采取单边或双边、同比例或不同比例、部分会员或全部会员提高交易保证金的措施。提高交易保证金的幅度不高于合约规定交易保证金的1倍。</w:t>
      </w:r>
    </w:p>
    <w:p w14:paraId="017D591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交易所采取上述措施须事先报告中国证监会。</w:t>
      </w:r>
    </w:p>
    <w:p w14:paraId="40CFA7C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第十条 如遇法定节假日休市时间较长，交易所可以根据市场情况在休市前调整合约交易保证金标准和涨跌停板幅度。</w:t>
      </w:r>
    </w:p>
    <w:p w14:paraId="7964C17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第十一条 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14:paraId="295E78F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适用于组合持仓的品种、合约、组合类型、组合方式、组合优先级、交易保证金标准等，由交易所另行公布。交易所可以根据市场情况进行调整。</w:t>
      </w:r>
    </w:p>
    <w:p w14:paraId="2853CFC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第十二条 交易期间建立的组合持仓，按前一个交易日结算时的组合持仓交易保证金标准收取保证金，保证金不足的按照《大连商品交易所结算管理办法》等规则规定执行。</w:t>
      </w:r>
    </w:p>
    <w:p w14:paraId="3257180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结算时，交易所对组合持仓按照当日公布的组合持仓交易保证金标准收取保证金。</w:t>
      </w:r>
    </w:p>
    <w:p w14:paraId="5240AAD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第十三条</w:t>
      </w: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 xml:space="preserve"> 同一交易编码持仓平仓，交易所在计算保证金时,视为先平非组合持仓后平组合持仓，组合持仓内部按照组合优先级从低到高顺序进行平仓。</w:t>
      </w:r>
    </w:p>
    <w:p w14:paraId="15E7CB9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第十四条 对同时满足本办法有关调整交易保证金规定的合约，其交易保证金按照规定交易保证金数值中的较大值收取。</w:t>
      </w:r>
    </w:p>
    <w:p w14:paraId="7879F129"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第三章 涨跌停板制度</w:t>
      </w:r>
    </w:p>
    <w:p w14:paraId="7925B08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第十五条 交易所实行价格涨跌停板制度，由交易所制定各期货合约的每日最大价格波动幅度。交易所可以根据市场情况调整各合约涨跌停板幅度。</w:t>
      </w:r>
    </w:p>
    <w:p w14:paraId="35F1DD9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对同时满足本办法有关调整涨跌停板幅度规定的合约，其涨跌停板幅度按照规定涨跌停板幅度数值中的较大值确定。</w:t>
      </w:r>
    </w:p>
    <w:p w14:paraId="1ACFE79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第十六条 各品种期货合约交割月份以前的月份涨跌停板幅度为上一交易日结算价的4%，交割月份的涨跌停板幅度为上一交易日结算价的6%。</w:t>
      </w:r>
    </w:p>
    <w:p w14:paraId="34F55D7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14:paraId="441023A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第十七条 当某期货合约以涨跌停板价格申报时，成交撮合原则实行平仓优先和时间优先的原则。</w:t>
      </w:r>
    </w:p>
    <w:p w14:paraId="3A34B40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第十八条 涨(跌)停板单边无连续报价是指某一期货合约在某一交易日收市前5分钟内出现只有停板价位的买入(卖出)申报、没有停板价位的卖出(买入)申报,或者一有卖出(买入)申报就成交、但未打开停板价位的情况。</w:t>
      </w:r>
    </w:p>
    <w:p w14:paraId="12EC56A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第十九条 当交易所上市的商品期货合约在某一交易日（该交易日记为第N个交易日，之后第1个、第2个、第3个交易日分别记为第N+1、第N+2、第N+3个交易日，以此类推）出现涨跌停板单边无连续报价的情况，则该合约第N+1个交易日涨跌停板幅度在第N个交易日涨跌停板幅度的基础上增加3个百分点（例，如果第N个交易日涨跌停板幅度为前一交易日结算价的4%，则第N+1个交易日涨跌停板幅度则为第N个交易日结算价的7%，下同）。第N个交易日结算时，该合约交易保证金标准为在第N+1个交易日涨跌停板幅度的基础上增加2个百分点（例，如果第N+1个交易日涨跌停板幅度为第N个交易日结算价的7%，则第N个交易日结算时，该合约保证金标准为合约价值的9%，下同）。若该合约调整后的交易保证金标准低于第N个交易日前一交易日结算时的交易保证金标准，则按第N个交易日前一交易日结算时该合约交易保证金标准收取；若第N个交易日为该合约上市挂盘后第1个交易日，则该合约上市挂盘当日交易保证金标准视为该合约第N个交易日前一交易日结算时的交易保证金标准。</w:t>
      </w:r>
    </w:p>
    <w:p w14:paraId="0FC4144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第N+1个交易日出现与第N个交易日同方向涨跌停板单边无连续报价的情况，则该合约第N+2个交易日涨跌停板幅度在第N+1个交易日涨跌停板幅度的基础上增加2个百分点。第N+1个交易日结算时，该合约交易保证金标准为在第N+2个交易日涨跌停板幅度的基础上增加2个百分点。若该合约调整后的交易保证金标准低于第N个交易日结算时的交易保证金标准，则按第N个交易日结算时该合约的交易保证金标准收取。</w:t>
      </w:r>
    </w:p>
    <w:p w14:paraId="704B1E6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第N+2个及以后交易日出现与第N+1个交易日同方向涨跌停板单边无连续报价情况，则从第N+3个交易日开始，涨跌停板幅度和交易保证金标准与第N+2个交易日一致，直至合约不再出现同方向涨跌停板单边无连续报价的情况。</w:t>
      </w:r>
    </w:p>
    <w:p w14:paraId="0CD9D56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第二十条 当第N+1个及以后交易日出现与前一交易日反方向涨跌停板单边无连续报价的情况，则该交易日视为第N个交易日。</w:t>
      </w:r>
    </w:p>
    <w:p w14:paraId="1BDD43B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第二十一条 当第N+1个及以后交易日未出现涨跌停板单边无连续报价的情况，则该交易日结算时交易保证金恢复到正常水平，下一交易日的涨跌停板幅度恢复到正常水平。</w:t>
      </w:r>
    </w:p>
    <w:p w14:paraId="127B6ECB"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第二十二条 若某期货合约在第N+2个交易日出现与第N+1个交易日同方向涨跌停板单边无连续报价的情况时，若第N+2个交易日是该期货合约的最后交易日，则该合约直接进入交割；若第N+3个交易日是该期货合约的最后交易日，则第N+3个交易日该合约按第N+2个交易日的涨跌停板和保证金水平继续交易。除上述两种情况之外，交易所可在第N+2个交易日收市后决定并公告，对该合约实施下列措施中的一种或多种化解市场风险：</w:t>
      </w:r>
    </w:p>
    <w:p w14:paraId="245614C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（一）单边或双边、同比例或不同比例、部分会员或全部会员提高交易保证金；</w:t>
      </w:r>
    </w:p>
    <w:p w14:paraId="1567BE2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（二）调整涨跌停板幅度；</w:t>
      </w:r>
    </w:p>
    <w:p w14:paraId="47F6D04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（三）暂停部分会员或全部会员开新仓；</w:t>
      </w:r>
    </w:p>
    <w:p w14:paraId="62A14C7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（四）限制出金；</w:t>
      </w:r>
    </w:p>
    <w:p w14:paraId="6100850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（五）限期平仓；</w:t>
      </w:r>
    </w:p>
    <w:p w14:paraId="6BFBE55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（六）强行平仓；</w:t>
      </w:r>
    </w:p>
    <w:p w14:paraId="3999E9E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（七）在第N+2个交易日收市后强制减仓。</w:t>
      </w:r>
    </w:p>
    <w:p w14:paraId="60AE749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第二十三条 强制减仓是指交易所将当日以涨跌停板价申报的未成交平仓报单,以当日涨跌停板价与该合约净持仓盈利客户(或非期货公司会员，下同)按持仓比例自动撮合成交。同一客户持有双向头寸, 则其净持仓部分的平仓报单参与强制减仓计算，其余平仓报单与其对锁持仓自动对冲。具体强制减仓方法如下：</w:t>
      </w:r>
    </w:p>
    <w:p w14:paraId="1FBCB25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（一）申报平仓数量的确定:</w:t>
      </w:r>
    </w:p>
    <w:p w14:paraId="2513288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在第N +2个交易日收市后,已在计算机系统中以涨跌停板价申报无法成交的、且客户合约的单位净持仓亏损大于或等于第N +2个交易日结算价的5%（棕榈油合约标准为4%）的所有持仓。</w:t>
      </w:r>
    </w:p>
    <w:p w14:paraId="6B07546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若客户不愿按上述方法平仓可在收市前撤单,不作为申报的平仓报单。</w:t>
      </w:r>
    </w:p>
    <w:p w14:paraId="133CFF0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（二）客户单位净持仓盈亏的确定:</w:t>
      </w:r>
    </w:p>
    <w:p w14:paraId="261192A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客户该合约持仓盈亏总和</w:t>
      </w:r>
    </w:p>
    <w:p w14:paraId="0B32FC7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客户该合约单位净持仓盈亏= ────────────</w:t>
      </w:r>
    </w:p>
    <w:p w14:paraId="3E0C09C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w:t>
      </w:r>
      <w:r w:rsidRPr="002C249B">
        <w:rPr>
          <w:rFonts w:ascii="仿宋_GB2312" w:eastAsia="仿宋_GB2312" w:hAnsi="宋体" w:cs="宋体"/>
          <w:kern w:val="0"/>
          <w:sz w:val="32"/>
          <w:szCs w:val="32"/>
        </w:rPr>
        <w:t xml:space="preserve">  </w:t>
      </w:r>
      <w:r w:rsidRPr="002C249B">
        <w:rPr>
          <w:rFonts w:ascii="仿宋_GB2312" w:eastAsia="仿宋_GB2312" w:hAnsi="宋体" w:cs="宋体" w:hint="eastAsia"/>
          <w:kern w:val="0"/>
          <w:sz w:val="32"/>
          <w:szCs w:val="32"/>
        </w:rPr>
        <w:t>客户该合约净持仓量×交易单位</w:t>
      </w:r>
    </w:p>
    <w:p w14:paraId="6EDF884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客户该合约持仓盈亏总和，是指客户该合约的全部持仓按其实际成交价与当日结算价之差计算的盈亏总和。</w:t>
      </w:r>
    </w:p>
    <w:p w14:paraId="107D0BF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（三）净持仓盈利客户平仓范围的确定:</w:t>
      </w:r>
    </w:p>
    <w:p w14:paraId="28404D9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根据上述方法计算的客户单位净持仓盈利大于零的客户的所有投机持仓以及客户单位净持仓盈利大于或等于第N +2个交易日结算价的7%的保值持仓都列入平仓范围。</w:t>
      </w:r>
    </w:p>
    <w:p w14:paraId="45EE157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（四）平仓数量的分配原则及方法:</w:t>
      </w:r>
    </w:p>
    <w:p w14:paraId="59BA4E1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1. 平仓数量的分配原则</w:t>
      </w:r>
    </w:p>
    <w:p w14:paraId="5B53D792" w14:textId="77777777" w:rsidR="00DB358F" w:rsidRPr="002C249B" w:rsidRDefault="00DB358F" w:rsidP="00DB358F">
      <w:pPr>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（1）在平仓范围内按盈利的大小和投机与保值的不同分成四级,逐级进行分配。</w:t>
      </w:r>
    </w:p>
    <w:p w14:paraId="3A81F3DA" w14:textId="77777777" w:rsidR="00DB358F" w:rsidRPr="002C249B" w:rsidRDefault="00DB358F" w:rsidP="00DB358F">
      <w:pPr>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首先分配给属平仓范围内单位净持仓盈利大于或等于第N+2个交易日结算价的6%以上的投机持仓（以下简称盈利6%以上的投机持仓）;</w:t>
      </w:r>
    </w:p>
    <w:p w14:paraId="2674B6A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其次分配给单位净持仓盈利大于或等于第N+2个交易日结算价的3%以上而小于6%的投机持仓（以下简称盈利3%以上的投机持仓）;</w:t>
      </w:r>
    </w:p>
    <w:p w14:paraId="66910BC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再次分配给单位净持仓盈利小于第N+2个交易日结算价的3%而大于零的投机持仓（以下简称盈利大于零的投机持仓）;</w:t>
      </w:r>
    </w:p>
    <w:p w14:paraId="657E821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最后分配给单位净持仓盈利大于或等于第N+2个交易日结算价的7%的保值持仓（以下简称盈利7%保值持仓）。</w:t>
      </w:r>
    </w:p>
    <w:p w14:paraId="4151F5F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（2）以上各级分配比例均按申报平仓数量(剩余申报平仓数量)与各级可平仓的盈利持仓数量之比进行分配。</w:t>
      </w:r>
    </w:p>
    <w:p w14:paraId="0056BCE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2. 平仓数量的分配方法及步骤:</w:t>
      </w:r>
    </w:p>
    <w:p w14:paraId="1A98F90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若单位净持仓盈利6%以上的投机持仓数量大于或等于申报平仓数量,则根据申报平仓数量与单位净持仓盈利6%以上的投机持仓数量的比例,将申报平仓数量向单位净持仓盈利6%以上的投机持仓分配实际平仓数量;</w:t>
      </w:r>
    </w:p>
    <w:p w14:paraId="7995591A" w14:textId="77777777" w:rsidR="00DB358F" w:rsidRPr="002C249B" w:rsidRDefault="00DB358F" w:rsidP="00DB358F">
      <w:pPr>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若单位净持仓盈利6%以上的投机持仓数量小于申报平仓数量, 则根据单位净持仓盈利6%以上的投机持仓数量与申报平仓数量的比例，将单位净持仓盈利6%以上的投机持仓数量向申报平仓客户分配实际平仓数量。再把剩余的申报平仓数量按上述的分配方法向单位净持仓盈利3%以上的投机持仓分配;若还有剩余,则再向单位净持仓盈利大于零的投机持仓分配;若还有剩余,则再向单位净持仓盈利7%的保值持仓分配。若还有剩余则不再分配。</w:t>
      </w:r>
    </w:p>
    <w:p w14:paraId="71883C6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分配平仓数量以“手”为单位,不足一手的按如下方法计算：首先对每个交易编码所分配到的平仓数量的整数部分进行分配，然后按小数部分由大到小的顺序“进位取整”进行分配。</w:t>
      </w:r>
    </w:p>
    <w:p w14:paraId="128308E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（五）强制减仓的执行</w:t>
      </w:r>
    </w:p>
    <w:p w14:paraId="47FA322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强制减仓于第N +2个交易日收市后由交易系统按强制减仓原则自动执行，强制减仓结果作为第N +2个交易日会员的交易结果。</w:t>
      </w:r>
    </w:p>
    <w:p w14:paraId="6462FC0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（六）强制减仓的价格</w:t>
      </w:r>
    </w:p>
    <w:p w14:paraId="446A732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强制减仓的价格为该合约第N +2个交易日的涨(跌)停板价。</w:t>
      </w:r>
    </w:p>
    <w:p w14:paraId="42D163C2"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（七）由上述减仓造成的经济损失由会员、境外经纪机构及客户承担。</w:t>
      </w:r>
    </w:p>
    <w:p w14:paraId="75ECDE3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第二十四条 该合约在采取上述措施后若风险仍未释放，则交易所宣布为异常情况，并按有关规定采取风险控制措施。</w:t>
      </w:r>
    </w:p>
    <w:p w14:paraId="1B15F4E5"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第四章 限仓制度</w:t>
      </w:r>
    </w:p>
    <w:p w14:paraId="3460B40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第二十五条 交易所实行限仓制度。限仓是指交易所规定会员或客户可以持有的，按单边计算的某一合约投机头寸的最大数额。具有实际控制关系的客户和非期货公司会员的持仓合并计算。</w:t>
      </w:r>
    </w:p>
    <w:p w14:paraId="7CE86622"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第二十六条 限仓实行以下基本制度：</w:t>
      </w:r>
    </w:p>
    <w:p w14:paraId="7AA3198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（一）根据不同期货品种的具体情况，分别确定每一品种每一月份期货合约的限仓数额；</w:t>
      </w:r>
    </w:p>
    <w:p w14:paraId="5E16BDD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（二）某一月份期货合约在其交易过程中的不同阶段，分别适用不同的限仓数额，进入交割月份的期货合约限仓数额从严控制；</w:t>
      </w:r>
    </w:p>
    <w:p w14:paraId="297D8F5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（三）套期保值、套利持仓根据《大连商品交易所套期保值管理办法》、《大连商品交易所套利交易管理办法》等有关规定进行管理。</w:t>
      </w:r>
    </w:p>
    <w:p w14:paraId="50F0B2D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第二十七条 同一客户在不同期货公司会员处开有多个交易编码，各交易编码上所有持仓头寸的合计数，不得超出一个客户的限仓数额。</w:t>
      </w:r>
    </w:p>
    <w:p w14:paraId="3D0A428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第二十八条</w:t>
      </w: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 xml:space="preserve"> 非期货公司会员和客户采取不同的限仓要求：</w:t>
      </w:r>
    </w:p>
    <w:p w14:paraId="4DA69C5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鸡蛋、乙二醇以外品种期货合约上市交易的一般月份（合约上市至交割月份前一个月第十四个交易日）期间，当该合约的单边持仓量达到一定规模起，非期货公司会员和客户按单边持仓量的一定比例确定限仓数额；在该合约的单边持仓量达到该规模前，非期货公司会员和客户该合约限仓数额以绝对量方式规定。在期货合约进入交割月份前一个月第十五个交易日至交割月期间，非期货公司会员和客户限仓数额以绝对量方式规定。鸡蛋品种非期货公司会员和客户的限仓数额以绝对量方式规定。乙二醇品种非期货公司会员和客户的限仓数额，在合约上市至交割月前一个月最后一个交易日期间根据合约的单边持仓量规定；交割月期间以绝对量方式规定。</w:t>
      </w:r>
    </w:p>
    <w:p w14:paraId="0BC7AB8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第二十九条</w:t>
      </w: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 xml:space="preserve"> 除鸡蛋、乙二醇品种外，各品种期货合约一般月份（合约上市至交割月份前一个月第十四个交易日）非期货公司会员和客户持仓限额见下表：（单位：手）</w:t>
      </w:r>
    </w:p>
    <w:tbl>
      <w:tblPr>
        <w:tblW w:w="9215" w:type="dxa"/>
        <w:tblCellSpacing w:w="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4"/>
        <w:gridCol w:w="2864"/>
        <w:gridCol w:w="2373"/>
        <w:gridCol w:w="2114"/>
      </w:tblGrid>
      <w:tr w:rsidR="00DB358F" w:rsidRPr="002C249B" w14:paraId="31B57027" w14:textId="77777777" w:rsidTr="00DB358F">
        <w:trPr>
          <w:tblCellSpacing w:w="0" w:type="dxa"/>
        </w:trPr>
        <w:tc>
          <w:tcPr>
            <w:tcW w:w="1844" w:type="dxa"/>
            <w:noWrap/>
            <w:vAlign w:val="center"/>
            <w:hideMark/>
          </w:tcPr>
          <w:p w14:paraId="060BA380"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品种</w:t>
            </w:r>
          </w:p>
        </w:tc>
        <w:tc>
          <w:tcPr>
            <w:tcW w:w="2872" w:type="dxa"/>
            <w:vAlign w:val="center"/>
            <w:hideMark/>
          </w:tcPr>
          <w:p w14:paraId="078C0FFD"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合约单边持仓规模</w:t>
            </w:r>
          </w:p>
        </w:tc>
        <w:tc>
          <w:tcPr>
            <w:tcW w:w="2380" w:type="dxa"/>
            <w:vAlign w:val="center"/>
            <w:hideMark/>
          </w:tcPr>
          <w:p w14:paraId="234E1003"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非期货公司会员</w:t>
            </w:r>
          </w:p>
        </w:tc>
        <w:tc>
          <w:tcPr>
            <w:tcW w:w="2119" w:type="dxa"/>
            <w:vAlign w:val="center"/>
            <w:hideMark/>
          </w:tcPr>
          <w:p w14:paraId="04C9184A"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客户</w:t>
            </w:r>
          </w:p>
        </w:tc>
      </w:tr>
      <w:tr w:rsidR="00DB358F" w:rsidRPr="002C249B" w14:paraId="6B97B1E9" w14:textId="77777777" w:rsidTr="00DB358F">
        <w:trPr>
          <w:tblCellSpacing w:w="0" w:type="dxa"/>
        </w:trPr>
        <w:tc>
          <w:tcPr>
            <w:tcW w:w="1844" w:type="dxa"/>
            <w:vMerge w:val="restart"/>
            <w:noWrap/>
            <w:vAlign w:val="center"/>
            <w:hideMark/>
          </w:tcPr>
          <w:p w14:paraId="189C548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黄大豆1号</w:t>
            </w:r>
          </w:p>
        </w:tc>
        <w:tc>
          <w:tcPr>
            <w:tcW w:w="2872" w:type="dxa"/>
            <w:vAlign w:val="center"/>
            <w:hideMark/>
          </w:tcPr>
          <w:p w14:paraId="40634FA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3CF4862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40,000</w:t>
            </w:r>
          </w:p>
        </w:tc>
        <w:tc>
          <w:tcPr>
            <w:tcW w:w="2119" w:type="dxa"/>
            <w:vAlign w:val="center"/>
            <w:hideMark/>
          </w:tcPr>
          <w:p w14:paraId="0BCA512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r>
      <w:tr w:rsidR="00DB358F" w:rsidRPr="002C249B" w14:paraId="064E3A7D" w14:textId="77777777" w:rsidTr="00DB358F">
        <w:trPr>
          <w:tblCellSpacing w:w="0" w:type="dxa"/>
        </w:trPr>
        <w:tc>
          <w:tcPr>
            <w:tcW w:w="1844" w:type="dxa"/>
            <w:vMerge/>
            <w:vAlign w:val="center"/>
            <w:hideMark/>
          </w:tcPr>
          <w:p w14:paraId="35911DB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1B2D1EC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2D02FF2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w:t>
            </w:r>
          </w:p>
        </w:tc>
        <w:tc>
          <w:tcPr>
            <w:tcW w:w="2119" w:type="dxa"/>
            <w:vAlign w:val="center"/>
            <w:hideMark/>
          </w:tcPr>
          <w:p w14:paraId="670357D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7AC8F39B" w14:textId="77777777" w:rsidTr="00DB358F">
        <w:trPr>
          <w:tblCellSpacing w:w="0" w:type="dxa"/>
        </w:trPr>
        <w:tc>
          <w:tcPr>
            <w:tcW w:w="1844" w:type="dxa"/>
            <w:vMerge w:val="restart"/>
            <w:noWrap/>
            <w:vAlign w:val="center"/>
            <w:hideMark/>
          </w:tcPr>
          <w:p w14:paraId="02267D4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黄大豆2号</w:t>
            </w:r>
          </w:p>
        </w:tc>
        <w:tc>
          <w:tcPr>
            <w:tcW w:w="2872" w:type="dxa"/>
            <w:vAlign w:val="center"/>
            <w:hideMark/>
          </w:tcPr>
          <w:p w14:paraId="19A15C5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5E607B5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c>
          <w:tcPr>
            <w:tcW w:w="2119" w:type="dxa"/>
            <w:vAlign w:val="center"/>
            <w:hideMark/>
          </w:tcPr>
          <w:p w14:paraId="3669254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r>
      <w:tr w:rsidR="00DB358F" w:rsidRPr="002C249B" w14:paraId="3A6B7451" w14:textId="77777777" w:rsidTr="00DB358F">
        <w:trPr>
          <w:tblCellSpacing w:w="0" w:type="dxa"/>
        </w:trPr>
        <w:tc>
          <w:tcPr>
            <w:tcW w:w="1844" w:type="dxa"/>
            <w:vMerge/>
            <w:vAlign w:val="center"/>
            <w:hideMark/>
          </w:tcPr>
          <w:p w14:paraId="0A366C1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64DD355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155386E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4069EB0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6E50CF78" w14:textId="77777777" w:rsidTr="00DB358F">
        <w:trPr>
          <w:tblCellSpacing w:w="0" w:type="dxa"/>
        </w:trPr>
        <w:tc>
          <w:tcPr>
            <w:tcW w:w="1844" w:type="dxa"/>
            <w:vMerge w:val="restart"/>
            <w:noWrap/>
            <w:vAlign w:val="center"/>
            <w:hideMark/>
          </w:tcPr>
          <w:p w14:paraId="475A276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豆粕</w:t>
            </w:r>
          </w:p>
        </w:tc>
        <w:tc>
          <w:tcPr>
            <w:tcW w:w="2872" w:type="dxa"/>
            <w:vAlign w:val="center"/>
            <w:hideMark/>
          </w:tcPr>
          <w:p w14:paraId="68A6B4C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单边持仓≤400,000</w:t>
            </w:r>
          </w:p>
        </w:tc>
        <w:tc>
          <w:tcPr>
            <w:tcW w:w="2380" w:type="dxa"/>
            <w:vAlign w:val="center"/>
            <w:hideMark/>
          </w:tcPr>
          <w:p w14:paraId="5E71CA4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80,000</w:t>
            </w:r>
          </w:p>
        </w:tc>
        <w:tc>
          <w:tcPr>
            <w:tcW w:w="2119" w:type="dxa"/>
            <w:vAlign w:val="center"/>
            <w:hideMark/>
          </w:tcPr>
          <w:p w14:paraId="4E6AB28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40,000</w:t>
            </w:r>
          </w:p>
        </w:tc>
      </w:tr>
      <w:tr w:rsidR="00DB358F" w:rsidRPr="002C249B" w14:paraId="0A3471DE" w14:textId="77777777" w:rsidTr="00DB358F">
        <w:trPr>
          <w:tblCellSpacing w:w="0" w:type="dxa"/>
        </w:trPr>
        <w:tc>
          <w:tcPr>
            <w:tcW w:w="1844" w:type="dxa"/>
            <w:vMerge/>
            <w:vAlign w:val="center"/>
            <w:hideMark/>
          </w:tcPr>
          <w:p w14:paraId="2D341F4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43A1148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单边持仓＞400,000</w:t>
            </w:r>
          </w:p>
        </w:tc>
        <w:tc>
          <w:tcPr>
            <w:tcW w:w="2380" w:type="dxa"/>
            <w:vAlign w:val="center"/>
            <w:hideMark/>
          </w:tcPr>
          <w:p w14:paraId="159E47A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w:t>
            </w:r>
          </w:p>
        </w:tc>
        <w:tc>
          <w:tcPr>
            <w:tcW w:w="2119" w:type="dxa"/>
            <w:vAlign w:val="center"/>
            <w:hideMark/>
          </w:tcPr>
          <w:p w14:paraId="7430AB9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456BF7E0" w14:textId="77777777" w:rsidTr="00DB358F">
        <w:trPr>
          <w:tblCellSpacing w:w="0" w:type="dxa"/>
        </w:trPr>
        <w:tc>
          <w:tcPr>
            <w:tcW w:w="1844" w:type="dxa"/>
            <w:vMerge w:val="restart"/>
            <w:noWrap/>
            <w:vAlign w:val="center"/>
            <w:hideMark/>
          </w:tcPr>
          <w:p w14:paraId="1900FE3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玉米</w:t>
            </w:r>
          </w:p>
        </w:tc>
        <w:tc>
          <w:tcPr>
            <w:tcW w:w="2872" w:type="dxa"/>
            <w:vAlign w:val="center"/>
            <w:hideMark/>
          </w:tcPr>
          <w:p w14:paraId="5625FA3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单边持仓≤400,000</w:t>
            </w:r>
          </w:p>
        </w:tc>
        <w:tc>
          <w:tcPr>
            <w:tcW w:w="2380" w:type="dxa"/>
            <w:vAlign w:val="center"/>
            <w:hideMark/>
          </w:tcPr>
          <w:p w14:paraId="09FC251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80,000</w:t>
            </w:r>
          </w:p>
        </w:tc>
        <w:tc>
          <w:tcPr>
            <w:tcW w:w="2119" w:type="dxa"/>
            <w:vAlign w:val="center"/>
            <w:hideMark/>
          </w:tcPr>
          <w:p w14:paraId="2926829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40,000</w:t>
            </w:r>
          </w:p>
        </w:tc>
      </w:tr>
      <w:tr w:rsidR="00DB358F" w:rsidRPr="002C249B" w14:paraId="4C0B59A3" w14:textId="77777777" w:rsidTr="00DB358F">
        <w:trPr>
          <w:tblCellSpacing w:w="0" w:type="dxa"/>
        </w:trPr>
        <w:tc>
          <w:tcPr>
            <w:tcW w:w="1844" w:type="dxa"/>
            <w:vMerge/>
            <w:vAlign w:val="center"/>
            <w:hideMark/>
          </w:tcPr>
          <w:p w14:paraId="5A11283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5F417A2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单边持仓＞400,000</w:t>
            </w:r>
          </w:p>
        </w:tc>
        <w:tc>
          <w:tcPr>
            <w:tcW w:w="2380" w:type="dxa"/>
            <w:vAlign w:val="center"/>
            <w:hideMark/>
          </w:tcPr>
          <w:p w14:paraId="6DF8541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w:t>
            </w:r>
          </w:p>
        </w:tc>
        <w:tc>
          <w:tcPr>
            <w:tcW w:w="2119" w:type="dxa"/>
            <w:vAlign w:val="center"/>
            <w:hideMark/>
          </w:tcPr>
          <w:p w14:paraId="6ABF682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74607945" w14:textId="77777777" w:rsidTr="00DB358F">
        <w:trPr>
          <w:tblCellSpacing w:w="0" w:type="dxa"/>
        </w:trPr>
        <w:tc>
          <w:tcPr>
            <w:tcW w:w="1844" w:type="dxa"/>
            <w:vMerge w:val="restart"/>
            <w:noWrap/>
            <w:vAlign w:val="center"/>
            <w:hideMark/>
          </w:tcPr>
          <w:p w14:paraId="6A7AA84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豆油</w:t>
            </w:r>
          </w:p>
        </w:tc>
        <w:tc>
          <w:tcPr>
            <w:tcW w:w="2872" w:type="dxa"/>
            <w:vAlign w:val="center"/>
            <w:hideMark/>
          </w:tcPr>
          <w:p w14:paraId="7E9621A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6096D60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40,000</w:t>
            </w:r>
          </w:p>
        </w:tc>
        <w:tc>
          <w:tcPr>
            <w:tcW w:w="2119" w:type="dxa"/>
            <w:vAlign w:val="center"/>
            <w:hideMark/>
          </w:tcPr>
          <w:p w14:paraId="159E48E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r>
      <w:tr w:rsidR="00DB358F" w:rsidRPr="002C249B" w14:paraId="2DFE5948" w14:textId="77777777" w:rsidTr="00DB358F">
        <w:trPr>
          <w:tblCellSpacing w:w="0" w:type="dxa"/>
        </w:trPr>
        <w:tc>
          <w:tcPr>
            <w:tcW w:w="1844" w:type="dxa"/>
            <w:vMerge/>
            <w:vAlign w:val="center"/>
            <w:hideMark/>
          </w:tcPr>
          <w:p w14:paraId="34194FB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4A13FED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7C2546E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w:t>
            </w:r>
          </w:p>
        </w:tc>
        <w:tc>
          <w:tcPr>
            <w:tcW w:w="2119" w:type="dxa"/>
            <w:vAlign w:val="center"/>
            <w:hideMark/>
          </w:tcPr>
          <w:p w14:paraId="3D1D742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4DBA70F1" w14:textId="77777777" w:rsidTr="00DB358F">
        <w:trPr>
          <w:tblCellSpacing w:w="0" w:type="dxa"/>
        </w:trPr>
        <w:tc>
          <w:tcPr>
            <w:tcW w:w="1844" w:type="dxa"/>
            <w:vMerge w:val="restart"/>
            <w:noWrap/>
            <w:vAlign w:val="center"/>
            <w:hideMark/>
          </w:tcPr>
          <w:p w14:paraId="11B3F9D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棕榈油</w:t>
            </w:r>
          </w:p>
        </w:tc>
        <w:tc>
          <w:tcPr>
            <w:tcW w:w="2872" w:type="dxa"/>
            <w:vAlign w:val="center"/>
            <w:hideMark/>
          </w:tcPr>
          <w:p w14:paraId="4083BEE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单边持仓≤100,000</w:t>
            </w:r>
          </w:p>
        </w:tc>
        <w:tc>
          <w:tcPr>
            <w:tcW w:w="2380" w:type="dxa"/>
            <w:vAlign w:val="center"/>
            <w:hideMark/>
          </w:tcPr>
          <w:p w14:paraId="193EDCE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c>
          <w:tcPr>
            <w:tcW w:w="2119" w:type="dxa"/>
            <w:vAlign w:val="center"/>
            <w:hideMark/>
          </w:tcPr>
          <w:p w14:paraId="1BACC2D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10,000</w:t>
            </w:r>
          </w:p>
        </w:tc>
      </w:tr>
      <w:tr w:rsidR="00DB358F" w:rsidRPr="002C249B" w14:paraId="727FFA49" w14:textId="77777777" w:rsidTr="00DB358F">
        <w:trPr>
          <w:tblCellSpacing w:w="0" w:type="dxa"/>
        </w:trPr>
        <w:tc>
          <w:tcPr>
            <w:tcW w:w="1844" w:type="dxa"/>
            <w:vMerge/>
            <w:vAlign w:val="center"/>
            <w:hideMark/>
          </w:tcPr>
          <w:p w14:paraId="048B9D0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7B14CAD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单边持仓＞100,000</w:t>
            </w:r>
          </w:p>
        </w:tc>
        <w:tc>
          <w:tcPr>
            <w:tcW w:w="2380" w:type="dxa"/>
            <w:vAlign w:val="center"/>
            <w:hideMark/>
          </w:tcPr>
          <w:p w14:paraId="67B6B97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w:t>
            </w:r>
          </w:p>
        </w:tc>
        <w:tc>
          <w:tcPr>
            <w:tcW w:w="2119" w:type="dxa"/>
            <w:vAlign w:val="center"/>
            <w:hideMark/>
          </w:tcPr>
          <w:p w14:paraId="67F664A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7BE34740" w14:textId="77777777" w:rsidTr="00DB358F">
        <w:trPr>
          <w:tblCellSpacing w:w="0" w:type="dxa"/>
        </w:trPr>
        <w:tc>
          <w:tcPr>
            <w:tcW w:w="1844" w:type="dxa"/>
            <w:vMerge w:val="restart"/>
            <w:vAlign w:val="center"/>
            <w:hideMark/>
          </w:tcPr>
          <w:p w14:paraId="32B1B56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线型低密度聚乙烯</w:t>
            </w:r>
          </w:p>
        </w:tc>
        <w:tc>
          <w:tcPr>
            <w:tcW w:w="2872" w:type="dxa"/>
            <w:vAlign w:val="center"/>
            <w:hideMark/>
          </w:tcPr>
          <w:p w14:paraId="66885BF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单边持仓≤100,000</w:t>
            </w:r>
          </w:p>
        </w:tc>
        <w:tc>
          <w:tcPr>
            <w:tcW w:w="2380" w:type="dxa"/>
            <w:vAlign w:val="center"/>
            <w:hideMark/>
          </w:tcPr>
          <w:p w14:paraId="183D447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c>
          <w:tcPr>
            <w:tcW w:w="2119" w:type="dxa"/>
            <w:vAlign w:val="center"/>
            <w:hideMark/>
          </w:tcPr>
          <w:p w14:paraId="0178370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10,000</w:t>
            </w:r>
          </w:p>
        </w:tc>
      </w:tr>
      <w:tr w:rsidR="00DB358F" w:rsidRPr="002C249B" w14:paraId="3CF8899D" w14:textId="77777777" w:rsidTr="00DB358F">
        <w:trPr>
          <w:tblCellSpacing w:w="0" w:type="dxa"/>
        </w:trPr>
        <w:tc>
          <w:tcPr>
            <w:tcW w:w="1844" w:type="dxa"/>
            <w:vMerge/>
            <w:vAlign w:val="center"/>
            <w:hideMark/>
          </w:tcPr>
          <w:p w14:paraId="5931684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577B0F5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单边持仓＞100,000</w:t>
            </w:r>
          </w:p>
        </w:tc>
        <w:tc>
          <w:tcPr>
            <w:tcW w:w="2380" w:type="dxa"/>
            <w:vAlign w:val="center"/>
            <w:hideMark/>
          </w:tcPr>
          <w:p w14:paraId="27084D6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w:t>
            </w:r>
          </w:p>
        </w:tc>
        <w:tc>
          <w:tcPr>
            <w:tcW w:w="2119" w:type="dxa"/>
            <w:vAlign w:val="center"/>
            <w:hideMark/>
          </w:tcPr>
          <w:p w14:paraId="048D54B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20E696EF" w14:textId="77777777" w:rsidTr="00DB358F">
        <w:trPr>
          <w:tblCellSpacing w:w="0" w:type="dxa"/>
        </w:trPr>
        <w:tc>
          <w:tcPr>
            <w:tcW w:w="1844" w:type="dxa"/>
            <w:vMerge w:val="restart"/>
            <w:vAlign w:val="center"/>
            <w:hideMark/>
          </w:tcPr>
          <w:p w14:paraId="25C4134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聚氯乙烯</w:t>
            </w:r>
          </w:p>
        </w:tc>
        <w:tc>
          <w:tcPr>
            <w:tcW w:w="2872" w:type="dxa"/>
            <w:vAlign w:val="center"/>
            <w:hideMark/>
          </w:tcPr>
          <w:p w14:paraId="6E24F41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1AB614D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40,000</w:t>
            </w:r>
          </w:p>
        </w:tc>
        <w:tc>
          <w:tcPr>
            <w:tcW w:w="2119" w:type="dxa"/>
            <w:vAlign w:val="center"/>
            <w:hideMark/>
          </w:tcPr>
          <w:p w14:paraId="564B46C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r>
      <w:tr w:rsidR="00DB358F" w:rsidRPr="002C249B" w14:paraId="3C287D4E" w14:textId="77777777" w:rsidTr="00DB358F">
        <w:trPr>
          <w:tblCellSpacing w:w="0" w:type="dxa"/>
        </w:trPr>
        <w:tc>
          <w:tcPr>
            <w:tcW w:w="1844" w:type="dxa"/>
            <w:vMerge/>
            <w:vAlign w:val="center"/>
            <w:hideMark/>
          </w:tcPr>
          <w:p w14:paraId="49391E7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2F52E50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1A28BB3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w:t>
            </w:r>
          </w:p>
        </w:tc>
        <w:tc>
          <w:tcPr>
            <w:tcW w:w="2119" w:type="dxa"/>
            <w:vAlign w:val="center"/>
            <w:hideMark/>
          </w:tcPr>
          <w:p w14:paraId="27A33B5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597EC8CA" w14:textId="77777777" w:rsidTr="00DB358F">
        <w:trPr>
          <w:tblCellSpacing w:w="0" w:type="dxa"/>
        </w:trPr>
        <w:tc>
          <w:tcPr>
            <w:tcW w:w="1844" w:type="dxa"/>
            <w:vMerge w:val="restart"/>
            <w:vAlign w:val="center"/>
            <w:hideMark/>
          </w:tcPr>
          <w:p w14:paraId="785BE71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焦炭</w:t>
            </w:r>
          </w:p>
        </w:tc>
        <w:tc>
          <w:tcPr>
            <w:tcW w:w="2872" w:type="dxa"/>
            <w:vAlign w:val="center"/>
            <w:hideMark/>
          </w:tcPr>
          <w:p w14:paraId="78BE0BD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单边持仓≤50,000</w:t>
            </w:r>
          </w:p>
        </w:tc>
        <w:tc>
          <w:tcPr>
            <w:tcW w:w="2380" w:type="dxa"/>
            <w:vAlign w:val="center"/>
            <w:hideMark/>
          </w:tcPr>
          <w:p w14:paraId="2DD91BE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c>
          <w:tcPr>
            <w:tcW w:w="2119" w:type="dxa"/>
            <w:vAlign w:val="center"/>
            <w:hideMark/>
          </w:tcPr>
          <w:p w14:paraId="7D0F92C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r>
      <w:tr w:rsidR="00DB358F" w:rsidRPr="002C249B" w14:paraId="7A8E51E9" w14:textId="77777777" w:rsidTr="00DB358F">
        <w:trPr>
          <w:tblCellSpacing w:w="0" w:type="dxa"/>
        </w:trPr>
        <w:tc>
          <w:tcPr>
            <w:tcW w:w="1844" w:type="dxa"/>
            <w:vMerge/>
            <w:vAlign w:val="center"/>
            <w:hideMark/>
          </w:tcPr>
          <w:p w14:paraId="6FE9C7D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76A3A65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单边持仓＞50,000</w:t>
            </w:r>
          </w:p>
        </w:tc>
        <w:tc>
          <w:tcPr>
            <w:tcW w:w="2380" w:type="dxa"/>
            <w:vAlign w:val="center"/>
            <w:hideMark/>
          </w:tcPr>
          <w:p w14:paraId="7F315CE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23C5E92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4BD2D4A0" w14:textId="77777777" w:rsidTr="00DB358F">
        <w:trPr>
          <w:tblCellSpacing w:w="0" w:type="dxa"/>
        </w:trPr>
        <w:tc>
          <w:tcPr>
            <w:tcW w:w="1844" w:type="dxa"/>
            <w:vMerge w:val="restart"/>
            <w:vAlign w:val="center"/>
            <w:hideMark/>
          </w:tcPr>
          <w:p w14:paraId="40E9423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焦煤</w:t>
            </w:r>
          </w:p>
        </w:tc>
        <w:tc>
          <w:tcPr>
            <w:tcW w:w="2872" w:type="dxa"/>
            <w:vAlign w:val="center"/>
            <w:hideMark/>
          </w:tcPr>
          <w:p w14:paraId="4F9D370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单边持仓≤80,000</w:t>
            </w:r>
          </w:p>
        </w:tc>
        <w:tc>
          <w:tcPr>
            <w:tcW w:w="2380" w:type="dxa"/>
            <w:vAlign w:val="center"/>
            <w:hideMark/>
          </w:tcPr>
          <w:p w14:paraId="5D54F09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8,000</w:t>
            </w:r>
          </w:p>
        </w:tc>
        <w:tc>
          <w:tcPr>
            <w:tcW w:w="2119" w:type="dxa"/>
            <w:vAlign w:val="center"/>
            <w:hideMark/>
          </w:tcPr>
          <w:p w14:paraId="1E9EC40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8,000</w:t>
            </w:r>
          </w:p>
        </w:tc>
      </w:tr>
      <w:tr w:rsidR="00DB358F" w:rsidRPr="002C249B" w14:paraId="786EDB9D" w14:textId="77777777" w:rsidTr="00DB358F">
        <w:trPr>
          <w:tblCellSpacing w:w="0" w:type="dxa"/>
        </w:trPr>
        <w:tc>
          <w:tcPr>
            <w:tcW w:w="1844" w:type="dxa"/>
            <w:vMerge/>
            <w:vAlign w:val="center"/>
            <w:hideMark/>
          </w:tcPr>
          <w:p w14:paraId="7233CBA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4819859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单边持仓＞80,000</w:t>
            </w:r>
          </w:p>
        </w:tc>
        <w:tc>
          <w:tcPr>
            <w:tcW w:w="2380" w:type="dxa"/>
            <w:vAlign w:val="center"/>
            <w:hideMark/>
          </w:tcPr>
          <w:p w14:paraId="1627A2E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09A0C9E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16D6CC2A" w14:textId="77777777" w:rsidTr="00DB358F">
        <w:trPr>
          <w:tblCellSpacing w:w="0" w:type="dxa"/>
        </w:trPr>
        <w:tc>
          <w:tcPr>
            <w:tcW w:w="1844" w:type="dxa"/>
            <w:vMerge w:val="restart"/>
            <w:vAlign w:val="center"/>
            <w:hideMark/>
          </w:tcPr>
          <w:p w14:paraId="4FEC0C6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铁矿石</w:t>
            </w:r>
          </w:p>
        </w:tc>
        <w:tc>
          <w:tcPr>
            <w:tcW w:w="2872" w:type="dxa"/>
            <w:vAlign w:val="center"/>
            <w:hideMark/>
          </w:tcPr>
          <w:p w14:paraId="2DA564C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单边持仓≤400,000</w:t>
            </w:r>
          </w:p>
        </w:tc>
        <w:tc>
          <w:tcPr>
            <w:tcW w:w="2380" w:type="dxa"/>
            <w:vAlign w:val="center"/>
            <w:hideMark/>
          </w:tcPr>
          <w:p w14:paraId="3D17DC1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40,000</w:t>
            </w:r>
          </w:p>
        </w:tc>
        <w:tc>
          <w:tcPr>
            <w:tcW w:w="2119" w:type="dxa"/>
            <w:vAlign w:val="center"/>
            <w:hideMark/>
          </w:tcPr>
          <w:p w14:paraId="5763483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40,000</w:t>
            </w:r>
          </w:p>
        </w:tc>
      </w:tr>
      <w:tr w:rsidR="00DB358F" w:rsidRPr="002C249B" w14:paraId="3F81A60E" w14:textId="77777777" w:rsidTr="00DB358F">
        <w:trPr>
          <w:tblCellSpacing w:w="0" w:type="dxa"/>
        </w:trPr>
        <w:tc>
          <w:tcPr>
            <w:tcW w:w="1844" w:type="dxa"/>
            <w:vMerge/>
            <w:vAlign w:val="center"/>
            <w:hideMark/>
          </w:tcPr>
          <w:p w14:paraId="49631AB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7A056FF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单边持仓＞400,000</w:t>
            </w:r>
          </w:p>
        </w:tc>
        <w:tc>
          <w:tcPr>
            <w:tcW w:w="2380" w:type="dxa"/>
            <w:vAlign w:val="center"/>
            <w:hideMark/>
          </w:tcPr>
          <w:p w14:paraId="3DA5567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0AF3A15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4217968F" w14:textId="77777777" w:rsidTr="00DB358F">
        <w:trPr>
          <w:tblCellSpacing w:w="0" w:type="dxa"/>
        </w:trPr>
        <w:tc>
          <w:tcPr>
            <w:tcW w:w="1844" w:type="dxa"/>
            <w:vMerge w:val="restart"/>
            <w:vAlign w:val="center"/>
            <w:hideMark/>
          </w:tcPr>
          <w:p w14:paraId="6BCC2EF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纤维板</w:t>
            </w:r>
          </w:p>
        </w:tc>
        <w:tc>
          <w:tcPr>
            <w:tcW w:w="2872" w:type="dxa"/>
            <w:vAlign w:val="center"/>
            <w:hideMark/>
          </w:tcPr>
          <w:p w14:paraId="1331B4D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单边持仓≤300,000</w:t>
            </w:r>
          </w:p>
        </w:tc>
        <w:tc>
          <w:tcPr>
            <w:tcW w:w="2380" w:type="dxa"/>
            <w:vAlign w:val="center"/>
            <w:hideMark/>
          </w:tcPr>
          <w:p w14:paraId="74F23A5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30,000</w:t>
            </w:r>
          </w:p>
        </w:tc>
        <w:tc>
          <w:tcPr>
            <w:tcW w:w="2119" w:type="dxa"/>
            <w:vAlign w:val="center"/>
            <w:hideMark/>
          </w:tcPr>
          <w:p w14:paraId="0BB5374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30,000</w:t>
            </w:r>
          </w:p>
        </w:tc>
      </w:tr>
      <w:tr w:rsidR="00DB358F" w:rsidRPr="002C249B" w14:paraId="6131EDF5" w14:textId="77777777" w:rsidTr="00DB358F">
        <w:trPr>
          <w:tblCellSpacing w:w="0" w:type="dxa"/>
        </w:trPr>
        <w:tc>
          <w:tcPr>
            <w:tcW w:w="1844" w:type="dxa"/>
            <w:vMerge/>
            <w:vAlign w:val="center"/>
            <w:hideMark/>
          </w:tcPr>
          <w:p w14:paraId="1DF7C30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45014CD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单边持仓＞300,000</w:t>
            </w:r>
          </w:p>
        </w:tc>
        <w:tc>
          <w:tcPr>
            <w:tcW w:w="2380" w:type="dxa"/>
            <w:vAlign w:val="center"/>
            <w:hideMark/>
          </w:tcPr>
          <w:p w14:paraId="5DEDAC8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0200510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047778F9" w14:textId="77777777" w:rsidTr="00DB358F">
        <w:trPr>
          <w:tblCellSpacing w:w="0" w:type="dxa"/>
        </w:trPr>
        <w:tc>
          <w:tcPr>
            <w:tcW w:w="1844" w:type="dxa"/>
            <w:vMerge w:val="restart"/>
            <w:vAlign w:val="center"/>
            <w:hideMark/>
          </w:tcPr>
          <w:p w14:paraId="5382BD7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胶合板</w:t>
            </w:r>
          </w:p>
        </w:tc>
        <w:tc>
          <w:tcPr>
            <w:tcW w:w="2872" w:type="dxa"/>
            <w:vAlign w:val="center"/>
            <w:hideMark/>
          </w:tcPr>
          <w:p w14:paraId="59ABCA4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单边持仓≤60,000</w:t>
            </w:r>
          </w:p>
        </w:tc>
        <w:tc>
          <w:tcPr>
            <w:tcW w:w="2380" w:type="dxa"/>
            <w:vAlign w:val="center"/>
            <w:hideMark/>
          </w:tcPr>
          <w:p w14:paraId="2E7B371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6,000</w:t>
            </w:r>
          </w:p>
        </w:tc>
        <w:tc>
          <w:tcPr>
            <w:tcW w:w="2119" w:type="dxa"/>
            <w:vAlign w:val="center"/>
            <w:hideMark/>
          </w:tcPr>
          <w:p w14:paraId="47FE5E6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6,000</w:t>
            </w:r>
          </w:p>
        </w:tc>
      </w:tr>
      <w:tr w:rsidR="00DB358F" w:rsidRPr="002C249B" w14:paraId="16F32F92" w14:textId="77777777" w:rsidTr="00DB358F">
        <w:trPr>
          <w:tblCellSpacing w:w="0" w:type="dxa"/>
        </w:trPr>
        <w:tc>
          <w:tcPr>
            <w:tcW w:w="1844" w:type="dxa"/>
            <w:vMerge/>
            <w:vAlign w:val="center"/>
            <w:hideMark/>
          </w:tcPr>
          <w:p w14:paraId="766891B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24AC031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单边持仓＞60,000</w:t>
            </w:r>
          </w:p>
        </w:tc>
        <w:tc>
          <w:tcPr>
            <w:tcW w:w="2380" w:type="dxa"/>
            <w:vAlign w:val="center"/>
            <w:hideMark/>
          </w:tcPr>
          <w:p w14:paraId="75FF2D8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5983236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13749F62" w14:textId="77777777" w:rsidTr="00DB358F">
        <w:trPr>
          <w:tblCellSpacing w:w="0" w:type="dxa"/>
        </w:trPr>
        <w:tc>
          <w:tcPr>
            <w:tcW w:w="1844" w:type="dxa"/>
            <w:vMerge w:val="restart"/>
            <w:vAlign w:val="center"/>
            <w:hideMark/>
          </w:tcPr>
          <w:p w14:paraId="0A74AA2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聚丙烯</w:t>
            </w:r>
          </w:p>
        </w:tc>
        <w:tc>
          <w:tcPr>
            <w:tcW w:w="2872" w:type="dxa"/>
            <w:vAlign w:val="center"/>
            <w:hideMark/>
          </w:tcPr>
          <w:p w14:paraId="38AFE01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4E3501B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c>
          <w:tcPr>
            <w:tcW w:w="2119" w:type="dxa"/>
            <w:vAlign w:val="center"/>
            <w:hideMark/>
          </w:tcPr>
          <w:p w14:paraId="628E984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20,000</w:t>
            </w:r>
          </w:p>
        </w:tc>
      </w:tr>
      <w:tr w:rsidR="00DB358F" w:rsidRPr="002C249B" w14:paraId="2D4374C5" w14:textId="77777777" w:rsidTr="00DB358F">
        <w:trPr>
          <w:tblCellSpacing w:w="0" w:type="dxa"/>
        </w:trPr>
        <w:tc>
          <w:tcPr>
            <w:tcW w:w="1844" w:type="dxa"/>
            <w:vMerge/>
            <w:vAlign w:val="center"/>
            <w:hideMark/>
          </w:tcPr>
          <w:p w14:paraId="7C131FE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04BCE98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5E584B8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7C56E95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522924D3" w14:textId="77777777" w:rsidTr="00DB358F">
        <w:trPr>
          <w:tblCellSpacing w:w="0" w:type="dxa"/>
        </w:trPr>
        <w:tc>
          <w:tcPr>
            <w:tcW w:w="1844" w:type="dxa"/>
            <w:vMerge w:val="restart"/>
            <w:vAlign w:val="center"/>
            <w:hideMark/>
          </w:tcPr>
          <w:p w14:paraId="0FE3774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玉米淀粉</w:t>
            </w:r>
          </w:p>
        </w:tc>
        <w:tc>
          <w:tcPr>
            <w:tcW w:w="2872" w:type="dxa"/>
            <w:vAlign w:val="center"/>
            <w:hideMark/>
          </w:tcPr>
          <w:p w14:paraId="2463536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单边持仓≤150,000</w:t>
            </w:r>
          </w:p>
        </w:tc>
        <w:tc>
          <w:tcPr>
            <w:tcW w:w="2380" w:type="dxa"/>
            <w:vAlign w:val="center"/>
            <w:hideMark/>
          </w:tcPr>
          <w:p w14:paraId="11837F3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15,000</w:t>
            </w:r>
          </w:p>
        </w:tc>
        <w:tc>
          <w:tcPr>
            <w:tcW w:w="2119" w:type="dxa"/>
            <w:vAlign w:val="center"/>
            <w:hideMark/>
          </w:tcPr>
          <w:p w14:paraId="7CB54BC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15,000</w:t>
            </w:r>
          </w:p>
        </w:tc>
      </w:tr>
      <w:tr w:rsidR="00DB358F" w:rsidRPr="002C249B" w14:paraId="373CB0CF" w14:textId="77777777" w:rsidTr="00DB358F">
        <w:trPr>
          <w:tblCellSpacing w:w="0" w:type="dxa"/>
        </w:trPr>
        <w:tc>
          <w:tcPr>
            <w:tcW w:w="1844" w:type="dxa"/>
            <w:vMerge/>
            <w:vAlign w:val="center"/>
            <w:hideMark/>
          </w:tcPr>
          <w:p w14:paraId="0F76A58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55B8A44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单边持仓＞150,000</w:t>
            </w:r>
          </w:p>
        </w:tc>
        <w:tc>
          <w:tcPr>
            <w:tcW w:w="2380" w:type="dxa"/>
            <w:vAlign w:val="center"/>
            <w:hideMark/>
          </w:tcPr>
          <w:p w14:paraId="2782094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42AB0DC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5D2044BA" w14:textId="77777777" w:rsidTr="00DB358F">
        <w:trPr>
          <w:tblCellSpacing w:w="0" w:type="dxa"/>
        </w:trPr>
        <w:tc>
          <w:tcPr>
            <w:tcW w:w="1844" w:type="dxa"/>
            <w:vMerge w:val="restart"/>
            <w:vAlign w:val="center"/>
            <w:hideMark/>
          </w:tcPr>
          <w:p w14:paraId="2E57D868"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粳米</w:t>
            </w:r>
          </w:p>
        </w:tc>
        <w:tc>
          <w:tcPr>
            <w:tcW w:w="2872" w:type="dxa"/>
            <w:vAlign w:val="center"/>
            <w:hideMark/>
          </w:tcPr>
          <w:p w14:paraId="7B15D42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0F783210"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20,000</w:t>
            </w:r>
          </w:p>
        </w:tc>
        <w:tc>
          <w:tcPr>
            <w:tcW w:w="2119" w:type="dxa"/>
            <w:vAlign w:val="center"/>
            <w:hideMark/>
          </w:tcPr>
          <w:p w14:paraId="1125404B"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20,000</w:t>
            </w:r>
          </w:p>
        </w:tc>
      </w:tr>
      <w:tr w:rsidR="00DB358F" w:rsidRPr="002C249B" w14:paraId="5156B44B" w14:textId="77777777" w:rsidTr="00DB358F">
        <w:trPr>
          <w:tblCellSpacing w:w="0" w:type="dxa"/>
        </w:trPr>
        <w:tc>
          <w:tcPr>
            <w:tcW w:w="1844" w:type="dxa"/>
            <w:vMerge/>
            <w:vAlign w:val="center"/>
            <w:hideMark/>
          </w:tcPr>
          <w:p w14:paraId="39F9785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328AD3F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单边持仓＞200,000</w:t>
            </w:r>
          </w:p>
        </w:tc>
        <w:tc>
          <w:tcPr>
            <w:tcW w:w="2380" w:type="dxa"/>
            <w:vAlign w:val="center"/>
            <w:hideMark/>
          </w:tcPr>
          <w:p w14:paraId="12F15D5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5097244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r w:rsidR="00DB358F" w:rsidRPr="002C249B" w14:paraId="2C7CB65B" w14:textId="77777777" w:rsidTr="00DB358F">
        <w:trPr>
          <w:tblCellSpacing w:w="0" w:type="dxa"/>
        </w:trPr>
        <w:tc>
          <w:tcPr>
            <w:tcW w:w="1844" w:type="dxa"/>
            <w:vMerge w:val="restart"/>
            <w:vAlign w:val="center"/>
            <w:hideMark/>
          </w:tcPr>
          <w:p w14:paraId="064F838E"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苯乙烯</w:t>
            </w:r>
          </w:p>
        </w:tc>
        <w:tc>
          <w:tcPr>
            <w:tcW w:w="2872" w:type="dxa"/>
            <w:vAlign w:val="center"/>
            <w:hideMark/>
          </w:tcPr>
          <w:p w14:paraId="33769E0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单边持仓≤120,000</w:t>
            </w:r>
          </w:p>
        </w:tc>
        <w:tc>
          <w:tcPr>
            <w:tcW w:w="2380" w:type="dxa"/>
            <w:vAlign w:val="center"/>
            <w:hideMark/>
          </w:tcPr>
          <w:p w14:paraId="689A2CCA"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12,000</w:t>
            </w:r>
          </w:p>
        </w:tc>
        <w:tc>
          <w:tcPr>
            <w:tcW w:w="2119" w:type="dxa"/>
            <w:vAlign w:val="center"/>
            <w:hideMark/>
          </w:tcPr>
          <w:p w14:paraId="7DB539F0"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12,000</w:t>
            </w:r>
          </w:p>
        </w:tc>
      </w:tr>
      <w:tr w:rsidR="00DB358F" w:rsidRPr="002C249B" w14:paraId="4879C024" w14:textId="77777777" w:rsidTr="00DB358F">
        <w:trPr>
          <w:tblCellSpacing w:w="0" w:type="dxa"/>
        </w:trPr>
        <w:tc>
          <w:tcPr>
            <w:tcW w:w="1844" w:type="dxa"/>
            <w:vMerge/>
            <w:vAlign w:val="center"/>
            <w:hideMark/>
          </w:tcPr>
          <w:p w14:paraId="476C98C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2872" w:type="dxa"/>
            <w:vAlign w:val="center"/>
            <w:hideMark/>
          </w:tcPr>
          <w:p w14:paraId="2C2EBED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单边持仓＞120,000</w:t>
            </w:r>
          </w:p>
        </w:tc>
        <w:tc>
          <w:tcPr>
            <w:tcW w:w="2380" w:type="dxa"/>
            <w:vAlign w:val="center"/>
            <w:hideMark/>
          </w:tcPr>
          <w:p w14:paraId="185C648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c>
          <w:tcPr>
            <w:tcW w:w="2119" w:type="dxa"/>
            <w:vAlign w:val="center"/>
            <w:hideMark/>
          </w:tcPr>
          <w:p w14:paraId="2B892C6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单边持仓×10%</w:t>
            </w:r>
          </w:p>
        </w:tc>
      </w:tr>
    </w:tbl>
    <w:p w14:paraId="01CCF28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除鸡蛋、乙二醇品种外，各品种期货合约自交割月份前一个月第十五个交易日至交割月期间非期货公司会员和客户持仓限额见下表，交割月份个人客户持仓限额为0：（单位：手）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3493"/>
        <w:gridCol w:w="2336"/>
        <w:gridCol w:w="990"/>
      </w:tblGrid>
      <w:tr w:rsidR="00DB358F" w:rsidRPr="002C249B" w14:paraId="169A6570" w14:textId="77777777" w:rsidTr="00DB358F">
        <w:trPr>
          <w:tblCellSpacing w:w="0" w:type="dxa"/>
        </w:trPr>
        <w:tc>
          <w:tcPr>
            <w:tcW w:w="1865" w:type="dxa"/>
            <w:tcBorders>
              <w:top w:val="outset" w:sz="6" w:space="0" w:color="auto"/>
              <w:left w:val="outset" w:sz="6" w:space="0" w:color="auto"/>
              <w:bottom w:val="outset" w:sz="6" w:space="0" w:color="auto"/>
              <w:right w:val="outset" w:sz="6" w:space="0" w:color="auto"/>
            </w:tcBorders>
            <w:noWrap/>
            <w:vAlign w:val="center"/>
            <w:hideMark/>
          </w:tcPr>
          <w:p w14:paraId="2E820462"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bookmarkStart w:id="0" w:name="_GoBack"/>
            <w:bookmarkEnd w:id="0"/>
            <w:r w:rsidRPr="002C249B">
              <w:rPr>
                <w:rFonts w:ascii="仿宋_GB2312" w:eastAsia="仿宋_GB2312" w:hAnsi="宋体" w:cs="宋体" w:hint="eastAsia"/>
                <w:kern w:val="0"/>
                <w:sz w:val="32"/>
                <w:szCs w:val="32"/>
              </w:rPr>
              <w:t>品种</w:t>
            </w:r>
          </w:p>
        </w:tc>
        <w:tc>
          <w:tcPr>
            <w:tcW w:w="3514" w:type="dxa"/>
            <w:tcBorders>
              <w:top w:val="outset" w:sz="6" w:space="0" w:color="auto"/>
              <w:left w:val="outset" w:sz="6" w:space="0" w:color="auto"/>
              <w:bottom w:val="outset" w:sz="6" w:space="0" w:color="auto"/>
              <w:right w:val="outset" w:sz="6" w:space="0" w:color="auto"/>
            </w:tcBorders>
            <w:vAlign w:val="center"/>
            <w:hideMark/>
          </w:tcPr>
          <w:p w14:paraId="4CEEF26E"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时间段</w:t>
            </w:r>
          </w:p>
        </w:tc>
        <w:tc>
          <w:tcPr>
            <w:tcW w:w="2345" w:type="dxa"/>
            <w:tcBorders>
              <w:top w:val="outset" w:sz="6" w:space="0" w:color="auto"/>
              <w:left w:val="outset" w:sz="6" w:space="0" w:color="auto"/>
              <w:bottom w:val="outset" w:sz="6" w:space="0" w:color="auto"/>
              <w:right w:val="outset" w:sz="6" w:space="0" w:color="auto"/>
            </w:tcBorders>
            <w:vAlign w:val="center"/>
            <w:hideMark/>
          </w:tcPr>
          <w:p w14:paraId="05D733BE"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8A1F8"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客户</w:t>
            </w:r>
          </w:p>
        </w:tc>
      </w:tr>
      <w:tr w:rsidR="00DB358F" w:rsidRPr="002C249B" w14:paraId="47EFCB79"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noWrap/>
            <w:vAlign w:val="center"/>
            <w:hideMark/>
          </w:tcPr>
          <w:p w14:paraId="3C3231F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黄大豆1号</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CB36DA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3A827DD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2FA7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r>
      <w:tr w:rsidR="00DB358F" w:rsidRPr="002C249B" w14:paraId="79C530C3"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555DC0C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08B9EB7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5F89EA4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E51C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2,500</w:t>
            </w:r>
          </w:p>
        </w:tc>
      </w:tr>
      <w:tr w:rsidR="00DB358F" w:rsidRPr="002C249B" w14:paraId="4AD830B9"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1CEC9C6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黄大豆2号</w:t>
            </w:r>
          </w:p>
        </w:tc>
        <w:tc>
          <w:tcPr>
            <w:tcW w:w="3514" w:type="dxa"/>
            <w:tcBorders>
              <w:top w:val="outset" w:sz="6" w:space="0" w:color="auto"/>
              <w:left w:val="outset" w:sz="6" w:space="0" w:color="auto"/>
              <w:bottom w:val="outset" w:sz="6" w:space="0" w:color="auto"/>
              <w:right w:val="outset" w:sz="6" w:space="0" w:color="auto"/>
            </w:tcBorders>
            <w:vAlign w:val="center"/>
            <w:hideMark/>
          </w:tcPr>
          <w:p w14:paraId="3C3812A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4E313DB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A025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4,500</w:t>
            </w:r>
          </w:p>
        </w:tc>
      </w:tr>
      <w:tr w:rsidR="00DB358F" w:rsidRPr="002C249B" w14:paraId="5564364C"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62D20BB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2F19260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72D4C89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1025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w:t>
            </w:r>
          </w:p>
        </w:tc>
      </w:tr>
      <w:tr w:rsidR="00DB358F" w:rsidRPr="002C249B" w14:paraId="784D64E5"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0083E84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豆粕</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F72265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39357C7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4FAF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7,500</w:t>
            </w:r>
          </w:p>
        </w:tc>
      </w:tr>
      <w:tr w:rsidR="00DB358F" w:rsidRPr="002C249B" w14:paraId="61CED129"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4C248CB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3138301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5398A3E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41FA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2,500</w:t>
            </w:r>
          </w:p>
        </w:tc>
      </w:tr>
      <w:tr w:rsidR="00DB358F" w:rsidRPr="002C249B" w14:paraId="5D8E122D"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563AF20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豆油</w:t>
            </w:r>
          </w:p>
        </w:tc>
        <w:tc>
          <w:tcPr>
            <w:tcW w:w="3514" w:type="dxa"/>
            <w:tcBorders>
              <w:top w:val="outset" w:sz="6" w:space="0" w:color="auto"/>
              <w:left w:val="outset" w:sz="6" w:space="0" w:color="auto"/>
              <w:bottom w:val="outset" w:sz="6" w:space="0" w:color="auto"/>
              <w:right w:val="outset" w:sz="6" w:space="0" w:color="auto"/>
            </w:tcBorders>
            <w:vAlign w:val="center"/>
            <w:hideMark/>
          </w:tcPr>
          <w:p w14:paraId="2E63D21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46802E4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D074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3,000</w:t>
            </w:r>
          </w:p>
        </w:tc>
      </w:tr>
      <w:tr w:rsidR="00DB358F" w:rsidRPr="002C249B" w14:paraId="530E2768"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2E5C363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2297DA9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36A9455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70CA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w:t>
            </w:r>
          </w:p>
        </w:tc>
      </w:tr>
      <w:tr w:rsidR="00DB358F" w:rsidRPr="002C249B" w14:paraId="37B8A8EB"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610AA37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棕榈油</w:t>
            </w:r>
          </w:p>
        </w:tc>
        <w:tc>
          <w:tcPr>
            <w:tcW w:w="3514" w:type="dxa"/>
            <w:tcBorders>
              <w:top w:val="outset" w:sz="6" w:space="0" w:color="auto"/>
              <w:left w:val="outset" w:sz="6" w:space="0" w:color="auto"/>
              <w:bottom w:val="outset" w:sz="6" w:space="0" w:color="auto"/>
              <w:right w:val="outset" w:sz="6" w:space="0" w:color="auto"/>
            </w:tcBorders>
            <w:vAlign w:val="center"/>
            <w:hideMark/>
          </w:tcPr>
          <w:p w14:paraId="702DC82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76525D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870B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w:t>
            </w:r>
          </w:p>
        </w:tc>
      </w:tr>
      <w:tr w:rsidR="00DB358F" w:rsidRPr="002C249B" w14:paraId="6ED5EB4D"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42351F3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0AFAF3F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586D4D8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3F9E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w:t>
            </w:r>
          </w:p>
        </w:tc>
      </w:tr>
      <w:tr w:rsidR="00DB358F" w:rsidRPr="002C249B" w14:paraId="4B72C1A6"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noWrap/>
            <w:vAlign w:val="center"/>
            <w:hideMark/>
          </w:tcPr>
          <w:p w14:paraId="1FB0DC9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玉米</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F0B4AD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4F423C7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5B94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15,000</w:t>
            </w:r>
          </w:p>
        </w:tc>
      </w:tr>
      <w:tr w:rsidR="00DB358F" w:rsidRPr="002C249B" w14:paraId="2DC09D94"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0C7BCEC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04B7869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0FB3762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9409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r>
      <w:tr w:rsidR="00DB358F" w:rsidRPr="002C249B" w14:paraId="7C259BBC"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516A08D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线型低密度聚乙烯</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BE0E96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E6800F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9119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3,000</w:t>
            </w:r>
          </w:p>
        </w:tc>
      </w:tr>
      <w:tr w:rsidR="00DB358F" w:rsidRPr="002C249B" w14:paraId="03C93718"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49D4641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7411D79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6B88D65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44FE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w:t>
            </w:r>
          </w:p>
        </w:tc>
      </w:tr>
      <w:tr w:rsidR="00DB358F" w:rsidRPr="002C249B" w14:paraId="7C61CE19"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59534AC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聚氯乙烯</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B6914A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394937E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1B96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r>
      <w:tr w:rsidR="00DB358F" w:rsidRPr="002C249B" w14:paraId="0C50EF03"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4F2C8BB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7AF7F3D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1551960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67E1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2,500</w:t>
            </w:r>
          </w:p>
        </w:tc>
      </w:tr>
      <w:tr w:rsidR="00DB358F" w:rsidRPr="002C249B" w14:paraId="1F4B6951"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17EDFCD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焦炭</w:t>
            </w:r>
          </w:p>
        </w:tc>
        <w:tc>
          <w:tcPr>
            <w:tcW w:w="3514" w:type="dxa"/>
            <w:tcBorders>
              <w:top w:val="outset" w:sz="6" w:space="0" w:color="auto"/>
              <w:left w:val="outset" w:sz="6" w:space="0" w:color="auto"/>
              <w:bottom w:val="outset" w:sz="6" w:space="0" w:color="auto"/>
              <w:right w:val="outset" w:sz="6" w:space="0" w:color="auto"/>
            </w:tcBorders>
            <w:vAlign w:val="center"/>
            <w:hideMark/>
          </w:tcPr>
          <w:p w14:paraId="200A7BA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4D36BFE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D2C5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900</w:t>
            </w:r>
          </w:p>
        </w:tc>
      </w:tr>
      <w:tr w:rsidR="00DB358F" w:rsidRPr="002C249B" w14:paraId="02416D66"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2B13FC2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38BC3E3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8AB1DE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78FB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300</w:t>
            </w:r>
          </w:p>
        </w:tc>
      </w:tr>
      <w:tr w:rsidR="00DB358F" w:rsidRPr="002C249B" w14:paraId="6DA2F554"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230E969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焦煤</w:t>
            </w:r>
          </w:p>
        </w:tc>
        <w:tc>
          <w:tcPr>
            <w:tcW w:w="3514" w:type="dxa"/>
            <w:tcBorders>
              <w:top w:val="outset" w:sz="6" w:space="0" w:color="auto"/>
              <w:left w:val="outset" w:sz="6" w:space="0" w:color="auto"/>
              <w:bottom w:val="outset" w:sz="6" w:space="0" w:color="auto"/>
              <w:right w:val="outset" w:sz="6" w:space="0" w:color="auto"/>
            </w:tcBorders>
            <w:vAlign w:val="center"/>
            <w:hideMark/>
          </w:tcPr>
          <w:p w14:paraId="01B3924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60FF3E20"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F426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w:t>
            </w:r>
          </w:p>
        </w:tc>
      </w:tr>
      <w:tr w:rsidR="00DB358F" w:rsidRPr="002C249B" w14:paraId="22F0428F"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1FAA932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6DDBE78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84F08C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FA9C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w:t>
            </w:r>
          </w:p>
        </w:tc>
      </w:tr>
      <w:tr w:rsidR="00DB358F" w:rsidRPr="002C249B" w14:paraId="3AB9BEF2"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76361BB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铁矿石</w:t>
            </w:r>
          </w:p>
        </w:tc>
        <w:tc>
          <w:tcPr>
            <w:tcW w:w="3514" w:type="dxa"/>
            <w:tcBorders>
              <w:top w:val="outset" w:sz="6" w:space="0" w:color="auto"/>
              <w:left w:val="outset" w:sz="6" w:space="0" w:color="auto"/>
              <w:bottom w:val="outset" w:sz="6" w:space="0" w:color="auto"/>
              <w:right w:val="outset" w:sz="6" w:space="0" w:color="auto"/>
            </w:tcBorders>
            <w:vAlign w:val="center"/>
            <w:hideMark/>
          </w:tcPr>
          <w:p w14:paraId="14D275C1"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68FC362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6ED4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6,000</w:t>
            </w:r>
          </w:p>
        </w:tc>
      </w:tr>
      <w:tr w:rsidR="00DB358F" w:rsidRPr="002C249B" w14:paraId="344274F2"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02DF10F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4299F53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76249D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82A7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2,000</w:t>
            </w:r>
          </w:p>
        </w:tc>
      </w:tr>
      <w:tr w:rsidR="00DB358F" w:rsidRPr="002C249B" w14:paraId="36650BF7"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748D2D9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纤维板</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71B291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1803A216"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DD3D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800</w:t>
            </w:r>
          </w:p>
        </w:tc>
      </w:tr>
      <w:tr w:rsidR="00DB358F" w:rsidRPr="002C249B" w14:paraId="31827962"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5D88DE4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66C4BBB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46308F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CCF1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200</w:t>
            </w:r>
          </w:p>
        </w:tc>
      </w:tr>
      <w:tr w:rsidR="00DB358F" w:rsidRPr="002C249B" w14:paraId="3F6E2549"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7577630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胶合板</w:t>
            </w:r>
          </w:p>
        </w:tc>
        <w:tc>
          <w:tcPr>
            <w:tcW w:w="3514" w:type="dxa"/>
            <w:tcBorders>
              <w:top w:val="outset" w:sz="6" w:space="0" w:color="auto"/>
              <w:left w:val="outset" w:sz="6" w:space="0" w:color="auto"/>
              <w:bottom w:val="outset" w:sz="6" w:space="0" w:color="auto"/>
              <w:right w:val="outset" w:sz="6" w:space="0" w:color="auto"/>
            </w:tcBorders>
            <w:vAlign w:val="center"/>
            <w:hideMark/>
          </w:tcPr>
          <w:p w14:paraId="001E760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BA3DC9E"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3519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80</w:t>
            </w:r>
          </w:p>
        </w:tc>
      </w:tr>
      <w:tr w:rsidR="00DB358F" w:rsidRPr="002C249B" w14:paraId="5FDF6BC7"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7F993F07"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3513E3C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571558D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D7E3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w:t>
            </w:r>
          </w:p>
        </w:tc>
      </w:tr>
      <w:tr w:rsidR="00DB358F" w:rsidRPr="002C249B" w14:paraId="2D44C0D1"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193697C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聚丙烯</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E6A332A"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2B39CC1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7758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5,000</w:t>
            </w:r>
          </w:p>
        </w:tc>
      </w:tr>
      <w:tr w:rsidR="00DB358F" w:rsidRPr="002C249B" w14:paraId="726C709E"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41A5E6A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148F18AC"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50B23D3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2A8A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2,500</w:t>
            </w:r>
          </w:p>
        </w:tc>
      </w:tr>
      <w:tr w:rsidR="00DB358F" w:rsidRPr="002C249B" w14:paraId="58C12375"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452963D2"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玉米淀粉</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FE7440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4629D17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5343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4,500</w:t>
            </w:r>
          </w:p>
        </w:tc>
      </w:tr>
      <w:tr w:rsidR="00DB358F" w:rsidRPr="002C249B" w14:paraId="56FF8FED"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047A148D"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5A731EE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0D75F1F8"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06D59"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1,500</w:t>
            </w:r>
          </w:p>
        </w:tc>
      </w:tr>
      <w:tr w:rsidR="00DB358F" w:rsidRPr="002C249B" w14:paraId="0F39C53F"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25415177"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粳米</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5DF036B"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6792FAC2"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ACAFB"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2,000</w:t>
            </w:r>
          </w:p>
        </w:tc>
      </w:tr>
      <w:tr w:rsidR="00DB358F" w:rsidRPr="002C249B" w14:paraId="4FE94842"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3650AEFF"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50562D73"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151A7331"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1CD2F"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1,000</w:t>
            </w:r>
          </w:p>
        </w:tc>
      </w:tr>
      <w:tr w:rsidR="00DB358F" w:rsidRPr="002C249B" w14:paraId="3CFA36AD" w14:textId="77777777" w:rsidTr="00DB358F">
        <w:trPr>
          <w:tblCellSpacing w:w="0" w:type="dxa"/>
        </w:trPr>
        <w:tc>
          <w:tcPr>
            <w:tcW w:w="1865" w:type="dxa"/>
            <w:vMerge w:val="restart"/>
            <w:tcBorders>
              <w:top w:val="outset" w:sz="6" w:space="0" w:color="auto"/>
              <w:left w:val="outset" w:sz="6" w:space="0" w:color="auto"/>
              <w:bottom w:val="outset" w:sz="6" w:space="0" w:color="auto"/>
              <w:right w:val="outset" w:sz="6" w:space="0" w:color="auto"/>
            </w:tcBorders>
            <w:vAlign w:val="center"/>
            <w:hideMark/>
          </w:tcPr>
          <w:p w14:paraId="4385F10E"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苯乙烯</w:t>
            </w:r>
          </w:p>
        </w:tc>
        <w:tc>
          <w:tcPr>
            <w:tcW w:w="3514" w:type="dxa"/>
            <w:tcBorders>
              <w:top w:val="outset" w:sz="6" w:space="0" w:color="auto"/>
              <w:left w:val="outset" w:sz="6" w:space="0" w:color="auto"/>
              <w:bottom w:val="outset" w:sz="6" w:space="0" w:color="auto"/>
              <w:right w:val="outset" w:sz="6" w:space="0" w:color="auto"/>
            </w:tcBorders>
            <w:vAlign w:val="center"/>
            <w:hideMark/>
          </w:tcPr>
          <w:p w14:paraId="047D813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交割月前一个月第十五个交易日起</w:t>
            </w:r>
          </w:p>
        </w:tc>
        <w:tc>
          <w:tcPr>
            <w:tcW w:w="2345" w:type="dxa"/>
            <w:tcBorders>
              <w:top w:val="outset" w:sz="6" w:space="0" w:color="auto"/>
              <w:left w:val="outset" w:sz="6" w:space="0" w:color="auto"/>
              <w:bottom w:val="outset" w:sz="6" w:space="0" w:color="auto"/>
              <w:right w:val="outset" w:sz="6" w:space="0" w:color="auto"/>
            </w:tcBorders>
            <w:vAlign w:val="center"/>
            <w:hideMark/>
          </w:tcPr>
          <w:p w14:paraId="5DD25692"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FFF18"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2,000</w:t>
            </w:r>
          </w:p>
        </w:tc>
      </w:tr>
      <w:tr w:rsidR="00DB358F" w:rsidRPr="002C249B" w14:paraId="6F787309" w14:textId="77777777" w:rsidTr="00DB358F">
        <w:trPr>
          <w:tblCellSpacing w:w="0" w:type="dxa"/>
        </w:trPr>
        <w:tc>
          <w:tcPr>
            <w:tcW w:w="1865" w:type="dxa"/>
            <w:vMerge/>
            <w:tcBorders>
              <w:top w:val="outset" w:sz="6" w:space="0" w:color="auto"/>
              <w:left w:val="outset" w:sz="6" w:space="0" w:color="auto"/>
              <w:bottom w:val="outset" w:sz="6" w:space="0" w:color="auto"/>
              <w:right w:val="outset" w:sz="6" w:space="0" w:color="auto"/>
            </w:tcBorders>
            <w:vAlign w:val="center"/>
            <w:hideMark/>
          </w:tcPr>
          <w:p w14:paraId="66106775"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p>
        </w:tc>
        <w:tc>
          <w:tcPr>
            <w:tcW w:w="3514" w:type="dxa"/>
            <w:tcBorders>
              <w:top w:val="outset" w:sz="6" w:space="0" w:color="auto"/>
              <w:left w:val="outset" w:sz="6" w:space="0" w:color="auto"/>
              <w:bottom w:val="outset" w:sz="6" w:space="0" w:color="auto"/>
              <w:right w:val="outset" w:sz="6" w:space="0" w:color="auto"/>
            </w:tcBorders>
            <w:vAlign w:val="center"/>
            <w:hideMark/>
          </w:tcPr>
          <w:p w14:paraId="1E5DE0D4" w14:textId="77777777" w:rsidR="00DB358F" w:rsidRPr="002C249B" w:rsidRDefault="00DB358F" w:rsidP="00516F74">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2345" w:type="dxa"/>
            <w:tcBorders>
              <w:top w:val="outset" w:sz="6" w:space="0" w:color="auto"/>
              <w:left w:val="outset" w:sz="6" w:space="0" w:color="auto"/>
              <w:bottom w:val="outset" w:sz="6" w:space="0" w:color="auto"/>
              <w:right w:val="outset" w:sz="6" w:space="0" w:color="auto"/>
            </w:tcBorders>
            <w:vAlign w:val="center"/>
            <w:hideMark/>
          </w:tcPr>
          <w:p w14:paraId="1286D905"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04A8A" w14:textId="77777777" w:rsidR="00DB358F" w:rsidRPr="002C249B" w:rsidRDefault="00DB358F" w:rsidP="00516F74">
            <w:pPr>
              <w:widowControl/>
              <w:adjustRightInd w:val="0"/>
              <w:snapToGrid w:val="0"/>
              <w:spacing w:line="580" w:lineRule="exact"/>
              <w:rPr>
                <w:rFonts w:ascii="仿宋_GB2312" w:eastAsia="仿宋_GB2312" w:hAnsi="宋体"/>
                <w:kern w:val="0"/>
                <w:sz w:val="32"/>
                <w:szCs w:val="32"/>
              </w:rPr>
            </w:pPr>
            <w:r w:rsidRPr="002C249B">
              <w:rPr>
                <w:rFonts w:ascii="仿宋_GB2312" w:eastAsia="仿宋_GB2312" w:hAnsi="宋体" w:hint="eastAsia"/>
                <w:kern w:val="0"/>
                <w:sz w:val="32"/>
                <w:szCs w:val="32"/>
              </w:rPr>
              <w:t>1,000</w:t>
            </w:r>
          </w:p>
        </w:tc>
      </w:tr>
    </w:tbl>
    <w:p w14:paraId="7AE2177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鸡蛋期货合约非期货公司会员和客户持仓限额见下表，交割月份个人客户持仓限额为0：（单位：手）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0"/>
        <w:gridCol w:w="2270"/>
        <w:gridCol w:w="1434"/>
      </w:tblGrid>
      <w:tr w:rsidR="00DB358F" w:rsidRPr="002C249B" w14:paraId="67CF464B" w14:textId="77777777" w:rsidTr="00516F7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ABA339"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交易时间段</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19DF2"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非期货公司会员</w:t>
            </w:r>
          </w:p>
        </w:tc>
        <w:tc>
          <w:tcPr>
            <w:tcW w:w="1434" w:type="dxa"/>
            <w:tcBorders>
              <w:top w:val="outset" w:sz="6" w:space="0" w:color="auto"/>
              <w:left w:val="outset" w:sz="6" w:space="0" w:color="auto"/>
              <w:bottom w:val="outset" w:sz="6" w:space="0" w:color="auto"/>
              <w:right w:val="outset" w:sz="6" w:space="0" w:color="auto"/>
            </w:tcBorders>
            <w:vAlign w:val="center"/>
            <w:hideMark/>
          </w:tcPr>
          <w:p w14:paraId="38351765"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客户</w:t>
            </w:r>
          </w:p>
        </w:tc>
      </w:tr>
      <w:tr w:rsidR="00DB358F" w:rsidRPr="002C249B" w14:paraId="4D50FDDC" w14:textId="77777777" w:rsidTr="00516F7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C8ABD3"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合约上市起</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48BCD"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kern w:val="0"/>
                <w:sz w:val="32"/>
                <w:szCs w:val="32"/>
              </w:rPr>
              <w:t>1,2</w:t>
            </w:r>
            <w:r w:rsidRPr="002C249B">
              <w:rPr>
                <w:rFonts w:ascii="仿宋_GB2312" w:eastAsia="仿宋_GB2312" w:hAnsi="宋体" w:cs="宋体" w:hint="eastAsia"/>
                <w:kern w:val="0"/>
                <w:sz w:val="32"/>
                <w:szCs w:val="32"/>
              </w:rPr>
              <w:t>00</w:t>
            </w:r>
          </w:p>
        </w:tc>
        <w:tc>
          <w:tcPr>
            <w:tcW w:w="1434" w:type="dxa"/>
            <w:tcBorders>
              <w:top w:val="outset" w:sz="6" w:space="0" w:color="auto"/>
              <w:left w:val="outset" w:sz="6" w:space="0" w:color="auto"/>
              <w:bottom w:val="outset" w:sz="6" w:space="0" w:color="auto"/>
              <w:right w:val="outset" w:sz="6" w:space="0" w:color="auto"/>
            </w:tcBorders>
            <w:vAlign w:val="center"/>
            <w:hideMark/>
          </w:tcPr>
          <w:p w14:paraId="6824229E"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kern w:val="0"/>
                <w:sz w:val="32"/>
                <w:szCs w:val="32"/>
              </w:rPr>
              <w:t>1,2</w:t>
            </w:r>
            <w:r w:rsidRPr="002C249B">
              <w:rPr>
                <w:rFonts w:ascii="仿宋_GB2312" w:eastAsia="仿宋_GB2312" w:hAnsi="宋体" w:cs="宋体" w:hint="eastAsia"/>
                <w:kern w:val="0"/>
                <w:sz w:val="32"/>
                <w:szCs w:val="32"/>
              </w:rPr>
              <w:t>00</w:t>
            </w:r>
          </w:p>
        </w:tc>
      </w:tr>
      <w:tr w:rsidR="00DB358F" w:rsidRPr="002C249B" w14:paraId="2C1D1B75" w14:textId="77777777" w:rsidTr="00516F7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27C16E"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47101"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kern w:val="0"/>
                <w:sz w:val="32"/>
                <w:szCs w:val="32"/>
              </w:rPr>
              <w:t>4</w:t>
            </w:r>
            <w:r w:rsidRPr="002C249B">
              <w:rPr>
                <w:rFonts w:ascii="仿宋_GB2312" w:eastAsia="仿宋_GB2312" w:hAnsi="宋体" w:cs="宋体" w:hint="eastAsia"/>
                <w:kern w:val="0"/>
                <w:sz w:val="32"/>
                <w:szCs w:val="32"/>
              </w:rPr>
              <w:t>00</w:t>
            </w:r>
          </w:p>
        </w:tc>
        <w:tc>
          <w:tcPr>
            <w:tcW w:w="1434" w:type="dxa"/>
            <w:tcBorders>
              <w:top w:val="outset" w:sz="6" w:space="0" w:color="auto"/>
              <w:left w:val="outset" w:sz="6" w:space="0" w:color="auto"/>
              <w:bottom w:val="outset" w:sz="6" w:space="0" w:color="auto"/>
              <w:right w:val="outset" w:sz="6" w:space="0" w:color="auto"/>
            </w:tcBorders>
            <w:vAlign w:val="center"/>
            <w:hideMark/>
          </w:tcPr>
          <w:p w14:paraId="75DFF73F"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kern w:val="0"/>
                <w:sz w:val="32"/>
                <w:szCs w:val="32"/>
              </w:rPr>
              <w:t>4</w:t>
            </w:r>
            <w:r w:rsidRPr="002C249B">
              <w:rPr>
                <w:rFonts w:ascii="仿宋_GB2312" w:eastAsia="仿宋_GB2312" w:hAnsi="宋体" w:cs="宋体" w:hint="eastAsia"/>
                <w:kern w:val="0"/>
                <w:sz w:val="32"/>
                <w:szCs w:val="32"/>
              </w:rPr>
              <w:t>00</w:t>
            </w:r>
          </w:p>
        </w:tc>
      </w:tr>
      <w:tr w:rsidR="00DB358F" w:rsidRPr="002C249B" w14:paraId="5B141AC2" w14:textId="77777777" w:rsidTr="00516F7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B31CCF"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53214"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kern w:val="0"/>
                <w:sz w:val="32"/>
                <w:szCs w:val="32"/>
              </w:rPr>
              <w:t>12</w:t>
            </w:r>
            <w:r w:rsidRPr="002C249B">
              <w:rPr>
                <w:rFonts w:ascii="仿宋_GB2312" w:eastAsia="仿宋_GB2312" w:hAnsi="宋体" w:cs="宋体" w:hint="eastAsia"/>
                <w:kern w:val="0"/>
                <w:sz w:val="32"/>
                <w:szCs w:val="32"/>
              </w:rPr>
              <w:t>0</w:t>
            </w:r>
          </w:p>
        </w:tc>
        <w:tc>
          <w:tcPr>
            <w:tcW w:w="1434" w:type="dxa"/>
            <w:tcBorders>
              <w:top w:val="outset" w:sz="6" w:space="0" w:color="auto"/>
              <w:left w:val="outset" w:sz="6" w:space="0" w:color="auto"/>
              <w:bottom w:val="outset" w:sz="6" w:space="0" w:color="auto"/>
              <w:right w:val="outset" w:sz="6" w:space="0" w:color="auto"/>
            </w:tcBorders>
            <w:vAlign w:val="center"/>
            <w:hideMark/>
          </w:tcPr>
          <w:p w14:paraId="7A3EECEC"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kern w:val="0"/>
                <w:sz w:val="32"/>
                <w:szCs w:val="32"/>
              </w:rPr>
              <w:t>12</w:t>
            </w:r>
            <w:r w:rsidRPr="002C249B">
              <w:rPr>
                <w:rFonts w:ascii="仿宋_GB2312" w:eastAsia="仿宋_GB2312" w:hAnsi="宋体" w:cs="宋体" w:hint="eastAsia"/>
                <w:kern w:val="0"/>
                <w:sz w:val="32"/>
                <w:szCs w:val="32"/>
              </w:rPr>
              <w:t>0</w:t>
            </w:r>
          </w:p>
        </w:tc>
      </w:tr>
      <w:tr w:rsidR="00DB358F" w:rsidRPr="002C249B" w14:paraId="17AEED2D" w14:textId="77777777" w:rsidTr="00516F7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537C97"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F66D9"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w:t>
            </w:r>
          </w:p>
        </w:tc>
        <w:tc>
          <w:tcPr>
            <w:tcW w:w="1434" w:type="dxa"/>
            <w:tcBorders>
              <w:top w:val="outset" w:sz="6" w:space="0" w:color="auto"/>
              <w:left w:val="outset" w:sz="6" w:space="0" w:color="auto"/>
              <w:bottom w:val="outset" w:sz="6" w:space="0" w:color="auto"/>
              <w:right w:val="outset" w:sz="6" w:space="0" w:color="auto"/>
            </w:tcBorders>
            <w:vAlign w:val="center"/>
            <w:hideMark/>
          </w:tcPr>
          <w:p w14:paraId="7379834C" w14:textId="77777777" w:rsidR="00DB358F" w:rsidRPr="002C249B" w:rsidRDefault="00DB358F" w:rsidP="00516F74">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20</w:t>
            </w:r>
          </w:p>
        </w:tc>
      </w:tr>
    </w:tbl>
    <w:p w14:paraId="2CCDA6D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乙二醇期货合约非期货公司会员和客户持仓限额按如下规定，交割月份个人客户持仓限额为0：（单位：手）</w:t>
      </w:r>
    </w:p>
    <w:p w14:paraId="6886A1F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（一）自合约上市至交割月份前一个月第十四个交易日期间，若该合约的单边持仓量小于或等于80,000手，则持仓限额为8,000手；若该合约的单边持仓量大于80,000手，则持仓限额为单边持仓量的10%。</w:t>
      </w:r>
    </w:p>
    <w:p w14:paraId="100006A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自交割月份前一个月第一个交易日至该月第十四个交易日期间，若某日结算时该合约的单边持仓量大于120,000手，则自当日结算时起持仓限额为3,000手，并持续适用至该月第十四个交易日。</w:t>
      </w:r>
    </w:p>
    <w:p w14:paraId="6C0BF58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自交割月份前一个月第十五个交易日至该月最后一个交易日期间，持仓限额为3,000手；若某日结算时该合约的单边持仓量超过80,000手，则自当日结算时起持仓限额调整至1,000手，并持续适用至该月最后一个交易日。</w:t>
      </w:r>
    </w:p>
    <w:p w14:paraId="21D82DF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（三）交割月份持仓限额为1,000手。</w:t>
      </w:r>
    </w:p>
    <w:p w14:paraId="7D682D6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第三十条</w:t>
      </w: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 xml:space="preserve"> 非期货公司会员或客户的持仓数量不得超过交易所规定的持仓限额，超过持仓限额的，不得同方向开仓交易。对超过持仓限额的非期货公司会员或客户，交易所将于下一交易日按有关规定执行强行平仓。</w:t>
      </w:r>
    </w:p>
    <w:p w14:paraId="20A3A07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一个客户在不同期货公司会员处开有多个交易编码，其持仓量合计超出限仓数额的，由交易所指定有关期货公司会员对该客户超额持仓执行强行平仓。</w:t>
      </w:r>
    </w:p>
    <w:p w14:paraId="4050B8D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对超过持仓限额的非期货公司会员或者客户，交易所还可以采取电话提示、要求报告情况、要求提交书面承诺、列入重点监管名单、限制开仓等措施。</w:t>
      </w:r>
    </w:p>
    <w:p w14:paraId="73D023B6"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第五章</w:t>
      </w: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 xml:space="preserve"> 交易限额制度</w:t>
      </w:r>
    </w:p>
    <w:p w14:paraId="12F6F6E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第三十一条 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14:paraId="2769CFA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套期保值交易和做市交易的开仓数量不受本条前款限制。</w:t>
      </w:r>
    </w:p>
    <w:p w14:paraId="2150498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第三十二条 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14:paraId="2021B6A8"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第六章 大户报告制度</w:t>
      </w:r>
    </w:p>
    <w:p w14:paraId="4869131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第三十三条 交易所实行大户报告制度。当非期货公司会员或客户某品种持仓合约的投机头寸达到交易所对其规定的投机头寸持仓限量80%以上（含本数）时, 非期货公司会员或客户应向交易所报告其资金情况、头寸情况，客户须通过期货公司会员报告；委托境外经纪机构从事期货交易的客户，应当委托其境外经纪机构报告，境外经纪机构再委托期货公司会员报告。</w:t>
      </w:r>
    </w:p>
    <w:p w14:paraId="020F0F5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非期货公司会员、客户应当保证所提供的大户持仓报告和其他材料的真实性、准确性和完整性。</w:t>
      </w:r>
    </w:p>
    <w:p w14:paraId="16CC1AE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交易所可根据市场风险状况，调整改变持仓报告水平。</w:t>
      </w:r>
    </w:p>
    <w:p w14:paraId="2F2FEBE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第三十四条 非期货公司会员或客户的持仓达到交易所报告界限的，非期货公司会员或客户应主动于下一交易日15:00时前向交易所报告。如需再次报告或补充报告，交易所将通知有关会员。</w:t>
      </w:r>
    </w:p>
    <w:p w14:paraId="5C79D64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第三十五条 达到交易所报告界限的非期货公司会员应向交易所提供下列材料：</w:t>
      </w:r>
    </w:p>
    <w:p w14:paraId="491F62E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（一）填写完整的《非期货公司会员大户报告表》（见附件2），内容包括会员名称、会员号、合约代码、现有持仓、持仓性质、持仓保证金、可动用资金、持仓意向、预报交割数量、申请交割数量；</w:t>
      </w:r>
    </w:p>
    <w:p w14:paraId="5422E9D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（二）资金来源说明；</w:t>
      </w:r>
    </w:p>
    <w:p w14:paraId="5A721C2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（三）交易所要求提供的其他材料。</w:t>
      </w:r>
    </w:p>
    <w:p w14:paraId="66AFA4D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第三十六条 达到交易所报告界限的客户应提供下列材料：</w:t>
      </w:r>
    </w:p>
    <w:p w14:paraId="7B54AD2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（一）填写完整的《客户大户报告表》（见附件3），内容包括会员名称、会员号、客户名称和编码、合约代码、现有持仓、持仓性质、持仓保证金、可动用资金、持仓意向、预报交割数量、申请交割数量等；</w:t>
      </w:r>
    </w:p>
    <w:p w14:paraId="7A84204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（二）资金来源说明；</w:t>
      </w:r>
    </w:p>
    <w:p w14:paraId="39D69BDB"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（三）开户材料及当日结算单据；</w:t>
      </w:r>
    </w:p>
    <w:p w14:paraId="7926019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（四）交易所要求提供的其他材料。</w:t>
      </w:r>
    </w:p>
    <w:p w14:paraId="4217E05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第三十七条 期货公司会员、境外经纪机构应对达到交易所报告界限的客户所提供的有关材料进行初审，然后由期货公司会员转交交易所。期货公司会员、境外经纪机构应保证客户所提供的材料的真实性和准确性。</w:t>
      </w:r>
    </w:p>
    <w:p w14:paraId="29052A9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第三十八条 交易所将不定期地对会员、境外经纪机构或客户提供的材料进行核查。</w:t>
      </w:r>
    </w:p>
    <w:p w14:paraId="4640A2C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第三十九条 客户在不同期货公司会员处开有多个交易编码，各交易编码持有头寸合计达到报告界限，由交易所指定并通知有关期货公司会员，负责报送该客户应报告情况的有关材料。</w:t>
      </w:r>
    </w:p>
    <w:p w14:paraId="38B25D2D"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第七章 强行平仓制度</w:t>
      </w:r>
    </w:p>
    <w:p w14:paraId="2DAD64D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第四十条 为控制市场风险，交易所实行强行平仓制度。强行平仓是指当会员、客户违规时，交易所对有关持仓实行平仓的一种强制措施。</w:t>
      </w:r>
    </w:p>
    <w:p w14:paraId="700319C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第四十一条 当会员、客户出现下列情形之一时，交易所有权对其持仓进行强行平仓：</w:t>
      </w:r>
    </w:p>
    <w:p w14:paraId="4200903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（一）会员结算准备金余额小于零，并未能在规定时限内补足的；</w:t>
      </w:r>
    </w:p>
    <w:p w14:paraId="2AA8FBA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（二）非期货公司会员和客户持仓量超出其限仓规定的；</w:t>
      </w:r>
    </w:p>
    <w:p w14:paraId="2FC9EFB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（三）因违规受到交易所强行平仓处罚的；</w:t>
      </w:r>
    </w:p>
    <w:p w14:paraId="70FDD0A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（四）根据交易所的紧急措施应予强行平仓的；</w:t>
      </w:r>
    </w:p>
    <w:p w14:paraId="5439EDE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（五）其他应予强行平仓的。</w:t>
      </w:r>
    </w:p>
    <w:p w14:paraId="4D68BE5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第四十二条 强行平仓的执行原则：</w:t>
      </w:r>
    </w:p>
    <w:p w14:paraId="4659E58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强行平仓先由会员自己执行，除交易所特别规定外，对开设夜盘交易的品种，其时限为夜盘交易小节、第一节和第二节交易时间内；对未开设夜盘交易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14:paraId="01C6ECB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属第四十一条第（三）、（四）、（五）项的强行平仓，其强行平仓时间由交易所另行通知。</w:t>
      </w:r>
    </w:p>
    <w:p w14:paraId="47741AA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（一）由会员单位执行的强行平仓头寸的确定</w:t>
      </w:r>
    </w:p>
    <w:p w14:paraId="4C300B6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1. 属第四十一条第（一）、（二）项的强行平仓，其需强行平仓头寸由会员单位自行确定，只要强行平仓结果符合交易所规则即可。</w:t>
      </w:r>
    </w:p>
    <w:p w14:paraId="6A336EB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2. 属第四十一条第（三）、（四）、（五）项的强行平仓，其需强行平仓头寸由交易所确定。</w:t>
      </w:r>
    </w:p>
    <w:p w14:paraId="522BA16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（二）由交易所执行的强行平仓头寸的确定</w:t>
      </w:r>
    </w:p>
    <w:p w14:paraId="6EDB98F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1. 属第四十一条第（一）项的强行平仓，交易所以该会员在13：00的结算准备金余额为依据，计算会员应追加的交易保证金，该会员所有客户按交易保证金等比例平仓原则进行强行平仓：</w:t>
      </w:r>
    </w:p>
    <w:p w14:paraId="798971C2"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平仓比例 = 会员应追加交易保证金 /会员交易保证金总额×100%</w:t>
      </w:r>
    </w:p>
    <w:p w14:paraId="28DE1AE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客户应平仓释放交易保证金 = 该客户交易保证金总额×平仓比例</w:t>
      </w:r>
    </w:p>
    <w:p w14:paraId="6BBA303B"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客户需要强行平仓的头寸的总体确定原则为先非组合持仓、后组合持仓。其中：</w:t>
      </w:r>
    </w:p>
    <w:p w14:paraId="60D9495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（1）平非组合持仓时，按先期货、后期权的原则选择强行平仓合约。</w:t>
      </w:r>
    </w:p>
    <w:p w14:paraId="0AE0271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平非组合持仓中的期货持仓时，按先投机、后套期保值，再按上一交易日结算时合约总持仓量由大到小顺序选择强行平仓合约。</w:t>
      </w:r>
    </w:p>
    <w:p w14:paraId="5447661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平非组合持仓中的期权持仓时,按先期权卖持仓、后期权买持仓，先投机、后套期保值，再按上一交易日结算时合约总持仓量由大到小顺序选择强行平仓合约。</w:t>
      </w:r>
    </w:p>
    <w:p w14:paraId="5224023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（2）平组合持仓时，按组合优先级由低到高顺序选择强行平仓合约。</w:t>
      </w:r>
    </w:p>
    <w:p w14:paraId="4A7659A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若多个会员需要强行平仓的，按追加保证金由大到小的顺序，先平需要追加保证金大的会员。</w:t>
      </w:r>
    </w:p>
    <w:p w14:paraId="395AAC7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2. 属第四十一条第（二）项的强行平仓：若既有投机持仓超仓也有保值持仓超仓，则按先投机持仓后保值持仓的顺序强行平仓。</w:t>
      </w:r>
    </w:p>
    <w:p w14:paraId="6698408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若客户在多个期货公司会员处持有投机持仓，则按该客户投机持仓数量由大到小的顺序选择期货公司会员强行平仓。若多个客户投机持仓超仓，则按客户投机超仓数量由大到小顺序强行平仓。</w:t>
      </w:r>
    </w:p>
    <w:p w14:paraId="79F0645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3. 属第四十一条第（三）、（四）、（五）项的强行平仓，强行平仓头寸由交易所根据涉及的会员和客户具体情况确定。</w:t>
      </w:r>
    </w:p>
    <w:p w14:paraId="1645592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若会员同时满足第四十一条第（一）、（二）项情况，交易所先按第（二）项情况确定强行平仓头寸，再按第（一）项情况确定强行平仓头寸。</w:t>
      </w:r>
    </w:p>
    <w:p w14:paraId="7D7941CB"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第四十三条 强行平仓的执行：</w:t>
      </w:r>
    </w:p>
    <w:p w14:paraId="2FDDFDC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（一）通知。</w:t>
      </w:r>
    </w:p>
    <w:p w14:paraId="725DD75E"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交易所以“强行平仓通知书”（以下简称通知书）的形式向有关会员下达强行平仓要求。通知书除交易所特别送达以外，通过会员服务系统随当日结算数据发送，有关会员可以通过会员服务系统获得。</w:t>
      </w:r>
    </w:p>
    <w:p w14:paraId="151C18B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（二）执行及确认。</w:t>
      </w:r>
    </w:p>
    <w:p w14:paraId="71EC661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1. 开市后，有关会员必须首先自行平仓，直至达到平仓要求；</w:t>
      </w:r>
    </w:p>
    <w:p w14:paraId="1514684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2. 超过会员自行强行平仓时限而未执行完毕的，剩余部份由交易所直接执行强行平仓；</w:t>
      </w:r>
    </w:p>
    <w:p w14:paraId="4AF0439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3. 强行平仓执行完毕后，由交易所记录执行结果并存档；</w:t>
      </w:r>
    </w:p>
    <w:p w14:paraId="7E5D66EB"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4. 强行平仓结果随当日成交记录发送，有关会员可以通过会员服务系统获得。</w:t>
      </w:r>
    </w:p>
    <w:p w14:paraId="604243A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第四十四条 强行平仓的委托价格为该合约的涨（跌）停板价格，强行平仓的成交价格通过市场交易形成。</w:t>
      </w:r>
    </w:p>
    <w:p w14:paraId="69292D82"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第四十五条 如因价格涨跌停板或其他市场原因而无法在当日完成全部强行平仓的，交易所根据结算结果，对该会员或客户做出相应的处理。</w:t>
      </w:r>
    </w:p>
    <w:p w14:paraId="6BC3D30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第四十六条 由于价格涨跌停板限制或其他市场原因，有关持仓的强行平仓只能延时完成的，因此发生的亏损，仍由直接责任人承担；未能完成平仓的，该持仓持有者须继续对此承担持仓责任或交割义务。</w:t>
      </w:r>
    </w:p>
    <w:p w14:paraId="5282B41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第四十七条 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14:paraId="7B43B16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本办法第四十一条第（三）项实施的强行平仓，亏损由相应的会员或客户承担，盈利计入交易所营业外收入。</w:t>
      </w:r>
    </w:p>
    <w:p w14:paraId="6EF93DC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会员或客户强行平仓产生的盈利或者亏损根据《大连商品交易所结算管理办法》平仓盈亏有关规定计算。</w:t>
      </w:r>
    </w:p>
    <w:p w14:paraId="6AC36C88"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第八章 异常情况处理</w:t>
      </w:r>
    </w:p>
    <w:p w14:paraId="66277FA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第四十八条 在期货交易过程中，当出现以下情形之一的，交易所可以宣布进入异常情况，采取紧急措施化解风险：</w:t>
      </w:r>
    </w:p>
    <w:p w14:paraId="14586F1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（一）地震、水灾、火灾等不可抗力或计算机系统故障等不可归责于交易所的原因导致交易无法正常进行；</w:t>
      </w:r>
    </w:p>
    <w:p w14:paraId="1FAA041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（二）会员出现结算、交割危机，对市场正在产生或者将产生重大影响；</w:t>
      </w:r>
    </w:p>
    <w:p w14:paraId="586BDE8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（三）期货价格出现同方向连续涨跌停板,有根据认为会员、境外经纪机构或者客户违反交易所交易规则及其实施细则并且对市场正在产生或者即将产生重大影响；</w:t>
      </w:r>
    </w:p>
    <w:p w14:paraId="3D453B7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（四）交易所规定的其他情况。</w:t>
      </w:r>
    </w:p>
    <w:p w14:paraId="2406E3D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14:paraId="375FEEB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第四十九条 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14:paraId="76550DF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第五十条 在铁矿石期货交易过程中，因战争、社会动荡、自然灾害等因素对铁矿石进口正在产生或者即将产生重大影响时，交易所可以宣布进入异常情况，交易所总经理可以采取调整开市收市时间、暂停交易、终止交易的紧急措施。终止交易当天结算时，铁矿石各合约月份全部持仓按照上一交易日结算价进行平仓。</w:t>
      </w:r>
    </w:p>
    <w:p w14:paraId="3805746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第五十一条 交易所宣布异常情况并决定采取紧急措施前必须报告中国证监会。</w:t>
      </w:r>
    </w:p>
    <w:p w14:paraId="444F6BC2"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对棕榈油、铁矿石合约采取终止交易紧急措施的，应当经中国证监会批准。</w:t>
      </w:r>
    </w:p>
    <w:p w14:paraId="35E5D13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第五十二条 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14:paraId="4C98C9E1"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第五十三条 交易所宣布进入异常情况并决定暂停交易时，暂停交易的期限不得超过3个交易日，但经中国证监会批准延长的除外。</w:t>
      </w:r>
    </w:p>
    <w:p w14:paraId="1C85A9D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第五十四条 发生技术故障，存在下列情形时，交易所不承担责任：</w:t>
      </w:r>
    </w:p>
    <w:p w14:paraId="4ED13C33"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（一）因不可抗力引发的技术故障；</w:t>
      </w:r>
    </w:p>
    <w:p w14:paraId="4BFF58F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（二）非因交易所过错引发的技术故障；</w:t>
      </w:r>
    </w:p>
    <w:p w14:paraId="1E05509B"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（三）法律、法规、规章规定的其他免责情形。</w:t>
      </w:r>
    </w:p>
    <w:p w14:paraId="4CF1FF5B"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第九章　风险警示制度</w:t>
      </w:r>
    </w:p>
    <w:p w14:paraId="7ADE36F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第五十五条 交易所实行风险警示制度。当交易所认为必要时，可以分别或同时采取要求报告情况、谈话提醒、发布风险提示函等措施中的一种或多种，以警示和化解风险。</w:t>
      </w:r>
    </w:p>
    <w:p w14:paraId="39EFE46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第五十六条 出现下列情形之一的，交易所可以要求会员、境外经纪机构或客户报告情况，或约见指定的会员、境外经纪机构高管人员或客户谈话提醒风险：</w:t>
      </w:r>
    </w:p>
    <w:p w14:paraId="4319CCE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（一）合约价格出现异常变动；</w:t>
      </w:r>
    </w:p>
    <w:p w14:paraId="4FD7C94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（二）品种、合约成交持仓比出现异常变动；</w:t>
      </w:r>
    </w:p>
    <w:p w14:paraId="2451D4E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（三）会员或客户交易行为异常；</w:t>
      </w:r>
    </w:p>
    <w:p w14:paraId="7261848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（四）会员、境外经纪机构或客户持仓变化较大；</w:t>
      </w:r>
    </w:p>
    <w:p w14:paraId="2225E40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（五）会员、境外经纪机构或客户持仓量过大，或持仓占比过高；</w:t>
      </w:r>
    </w:p>
    <w:p w14:paraId="22A9577B"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（六）会员、境外经纪机构或客户成交量过大，或成交占比过高；</w:t>
      </w:r>
    </w:p>
    <w:p w14:paraId="558DBDF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（七）会员资金变化较大；</w:t>
      </w:r>
    </w:p>
    <w:p w14:paraId="39BE3E25"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（八）会员、境外经纪机构或客户涉嫌违规；</w:t>
      </w:r>
    </w:p>
    <w:p w14:paraId="5262E3DD"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（九）会员、境外经纪机构或客户被投诉；</w:t>
      </w:r>
    </w:p>
    <w:p w14:paraId="36CC67A2"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（十）会员、境外经纪机构或客户涉及司法调查或诉讼案件；</w:t>
      </w:r>
    </w:p>
    <w:p w14:paraId="5AB07D3A"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（十一）交易所认定的其他情形。</w:t>
      </w:r>
    </w:p>
    <w:p w14:paraId="3FC10FE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交易所要求会员、境外经纪机构或客户报告情况的，会员、境外经纪机构或客户应当按照交易所要求的时间、内容和方式如实报告。</w:t>
      </w:r>
    </w:p>
    <w:p w14:paraId="6C8D12F2"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交易所实施谈话提醒的，会员、境外经纪机构或客户应当按照交易所要求的时间、地点和方式认真履行。</w:t>
      </w:r>
    </w:p>
    <w:p w14:paraId="7B1CC6E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交易所如果使用电话提示方式，应保留电话录音；如果使用视频谈话方式，应保存相关视频；如果使用现场谈话方式，应保存谈话记录。</w:t>
      </w:r>
    </w:p>
    <w:p w14:paraId="1A08331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第五十七条 发生下列情形之一的，交易所可以向全体或部分会员、境外经纪机构和客户发出风险提示函：</w:t>
      </w:r>
    </w:p>
    <w:p w14:paraId="479BB2DF"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（一）期货市场交易出现异常变化；</w:t>
      </w:r>
    </w:p>
    <w:p w14:paraId="3B29E87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（二）国内外期货或现货市场发生较大变化；</w:t>
      </w:r>
    </w:p>
    <w:p w14:paraId="51C89DDC"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（三）会员、境外经纪机构或客户涉嫌违规；</w:t>
      </w:r>
    </w:p>
    <w:p w14:paraId="185CDF5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（四）会员、境外经纪机构或客户交易存在较大风险；</w:t>
      </w:r>
    </w:p>
    <w:p w14:paraId="3DF094A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（五）交易所认定的其他异常情形。</w:t>
      </w:r>
    </w:p>
    <w:p w14:paraId="5182824F" w14:textId="77777777" w:rsidR="00DB358F" w:rsidRPr="002C249B" w:rsidRDefault="00DB358F" w:rsidP="00DB358F">
      <w:pPr>
        <w:widowControl/>
        <w:adjustRightInd w:val="0"/>
        <w:snapToGrid w:val="0"/>
        <w:spacing w:line="580" w:lineRule="exact"/>
        <w:jc w:val="center"/>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第十章 附则</w:t>
      </w:r>
    </w:p>
    <w:p w14:paraId="16CDF5C8"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第五十八条 违反本办法规定的，交易所按《大连商品交易所违规处理办法》的有关规定处理。</w:t>
      </w:r>
    </w:p>
    <w:p w14:paraId="765AAE67"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第五十九条</w:t>
      </w:r>
      <w:r w:rsidRPr="002C249B">
        <w:rPr>
          <w:rFonts w:ascii="仿宋_GB2312" w:eastAsia="仿宋_GB2312" w:hAnsi="宋体" w:cs="宋体" w:hint="eastAsia"/>
          <w:kern w:val="0"/>
          <w:sz w:val="32"/>
          <w:szCs w:val="32"/>
        </w:rPr>
        <w:t> </w:t>
      </w:r>
      <w:r w:rsidRPr="002C249B">
        <w:rPr>
          <w:rFonts w:ascii="仿宋_GB2312" w:eastAsia="仿宋_GB2312" w:hAnsi="宋体" w:cs="宋体" w:hint="eastAsia"/>
          <w:kern w:val="0"/>
          <w:sz w:val="32"/>
          <w:szCs w:val="32"/>
        </w:rPr>
        <w:t xml:space="preserve"> 交易所对期权交易风险管理有特别规定的，适用其规定。</w:t>
      </w:r>
    </w:p>
    <w:p w14:paraId="0FE1A0D4"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第六十条 本办法解释权属于大连商品交易所。</w:t>
      </w:r>
    </w:p>
    <w:p w14:paraId="5DE39EC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第六十一条 本办法自公布之日起实施。</w:t>
      </w:r>
    </w:p>
    <w:p w14:paraId="004F6096"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w:t>
      </w:r>
      <w:r w:rsidRPr="002C249B">
        <w:rPr>
          <w:rFonts w:ascii="仿宋_GB2312" w:eastAsia="仿宋_GB2312" w:hAnsi="宋体" w:cs="宋体"/>
          <w:kern w:val="0"/>
          <w:sz w:val="32"/>
          <w:szCs w:val="32"/>
        </w:rPr>
        <w:t>附件1：连续三个涨跌停板后平仓数量的分配方法及步骤</w:t>
      </w:r>
      <w:r w:rsidRPr="002C249B">
        <w:rPr>
          <w:rFonts w:ascii="仿宋_GB2312" w:eastAsia="仿宋_GB2312" w:hAnsi="宋体" w:cs="宋体" w:hint="eastAsia"/>
          <w:kern w:val="0"/>
          <w:sz w:val="32"/>
          <w:szCs w:val="32"/>
        </w:rPr>
        <w:t>（略）</w:t>
      </w:r>
    </w:p>
    <w:p w14:paraId="00390CA0"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w:t>
      </w:r>
      <w:r w:rsidRPr="002C249B">
        <w:rPr>
          <w:rFonts w:ascii="仿宋_GB2312" w:eastAsia="仿宋_GB2312" w:hAnsi="宋体" w:cs="宋体"/>
          <w:kern w:val="0"/>
          <w:sz w:val="32"/>
          <w:szCs w:val="32"/>
        </w:rPr>
        <w:t>附件2：大连商品交易所非期货公司会员大户报告表</w:t>
      </w:r>
      <w:r w:rsidRPr="002C249B">
        <w:rPr>
          <w:rFonts w:ascii="仿宋_GB2312" w:eastAsia="仿宋_GB2312" w:hAnsi="宋体" w:cs="宋体" w:hint="eastAsia"/>
          <w:kern w:val="0"/>
          <w:sz w:val="32"/>
          <w:szCs w:val="32"/>
        </w:rPr>
        <w:t>（略）</w:t>
      </w:r>
    </w:p>
    <w:p w14:paraId="27A5F719" w14:textId="77777777" w:rsidR="00DB358F" w:rsidRPr="002C249B" w:rsidRDefault="00DB358F" w:rsidP="00DB358F">
      <w:pPr>
        <w:widowControl/>
        <w:adjustRightInd w:val="0"/>
        <w:snapToGrid w:val="0"/>
        <w:spacing w:line="580" w:lineRule="exact"/>
        <w:rPr>
          <w:rFonts w:ascii="仿宋_GB2312" w:eastAsia="仿宋_GB2312" w:hAnsi="宋体" w:cs="宋体"/>
          <w:kern w:val="0"/>
          <w:sz w:val="32"/>
          <w:szCs w:val="32"/>
        </w:rPr>
      </w:pPr>
      <w:r w:rsidRPr="002C249B">
        <w:rPr>
          <w:rFonts w:ascii="仿宋_GB2312" w:eastAsia="仿宋_GB2312" w:hAnsi="宋体" w:cs="宋体" w:hint="eastAsia"/>
          <w:kern w:val="0"/>
          <w:sz w:val="32"/>
          <w:szCs w:val="32"/>
        </w:rPr>
        <w:t xml:space="preserve">　　</w:t>
      </w:r>
      <w:r w:rsidRPr="002C249B">
        <w:rPr>
          <w:rFonts w:ascii="仿宋_GB2312" w:eastAsia="仿宋_GB2312" w:hAnsi="宋体" w:cs="宋体"/>
          <w:kern w:val="0"/>
          <w:sz w:val="32"/>
          <w:szCs w:val="32"/>
        </w:rPr>
        <w:t>附件3：大连商品交易所客户大户报告表</w:t>
      </w:r>
      <w:r w:rsidRPr="002C249B">
        <w:rPr>
          <w:rFonts w:ascii="仿宋_GB2312" w:eastAsia="仿宋_GB2312" w:hAnsi="宋体" w:cs="宋体" w:hint="eastAsia"/>
          <w:kern w:val="0"/>
          <w:sz w:val="32"/>
          <w:szCs w:val="32"/>
        </w:rPr>
        <w:t>（略）</w:t>
      </w:r>
    </w:p>
    <w:p w14:paraId="0D934E6A" w14:textId="77777777" w:rsidR="00A2554E" w:rsidRPr="00DB358F" w:rsidRDefault="00A2554E" w:rsidP="00DB358F"/>
    <w:sectPr w:rsidR="00A2554E" w:rsidRPr="00DB358F" w:rsidSect="00DB358F">
      <w:footerReference w:type="default" r:id="rId9"/>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49C6" w14:textId="77777777" w:rsidR="00DB358F" w:rsidRDefault="00DB358F" w:rsidP="00DB358F">
      <w:r>
        <w:separator/>
      </w:r>
    </w:p>
  </w:endnote>
  <w:endnote w:type="continuationSeparator" w:id="0">
    <w:p w14:paraId="6291493A" w14:textId="77777777" w:rsidR="00DB358F" w:rsidRDefault="00DB358F" w:rsidP="00DB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90355"/>
      <w:docPartObj>
        <w:docPartGallery w:val="Page Numbers (Bottom of Page)"/>
        <w:docPartUnique/>
      </w:docPartObj>
    </w:sdtPr>
    <w:sdtContent>
      <w:p w14:paraId="7FD30966" w14:textId="1B4EF479" w:rsidR="00DB358F" w:rsidRDefault="00DB358F" w:rsidP="00DB358F">
        <w:pPr>
          <w:pStyle w:val="a7"/>
          <w:jc w:val="center"/>
          <w:rPr>
            <w:rFonts w:hint="eastAsia"/>
          </w:rPr>
        </w:pPr>
        <w:r>
          <w:fldChar w:fldCharType="begin"/>
        </w:r>
        <w:r>
          <w:instrText>PAGE   \* MERGEFORMAT</w:instrText>
        </w:r>
        <w:r>
          <w:fldChar w:fldCharType="separate"/>
        </w:r>
        <w:r w:rsidRPr="00DB358F">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0B5AB" w14:textId="77777777" w:rsidR="00DB358F" w:rsidRDefault="00DB358F" w:rsidP="00DB358F">
      <w:r>
        <w:separator/>
      </w:r>
    </w:p>
  </w:footnote>
  <w:footnote w:type="continuationSeparator" w:id="0">
    <w:p w14:paraId="016EDCF4" w14:textId="77777777" w:rsidR="00DB358F" w:rsidRDefault="00DB358F" w:rsidP="00DB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24"/>
    <w:rsid w:val="007B1EC4"/>
    <w:rsid w:val="00A2554E"/>
    <w:rsid w:val="00DB358F"/>
    <w:rsid w:val="00EF07E0"/>
    <w:rsid w:val="00EF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B7A9"/>
  <w15:chartTrackingRefBased/>
  <w15:docId w15:val="{FEA367C3-3C51-48FD-A326-95615F59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4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DB35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B358F"/>
    <w:rPr>
      <w:rFonts w:ascii="Times New Roman" w:eastAsia="宋体" w:hAnsi="Times New Roman" w:cs="Times New Roman"/>
      <w:sz w:val="18"/>
      <w:szCs w:val="18"/>
    </w:rPr>
  </w:style>
  <w:style w:type="paragraph" w:styleId="a7">
    <w:name w:val="footer"/>
    <w:basedOn w:val="a"/>
    <w:link w:val="a8"/>
    <w:uiPriority w:val="99"/>
    <w:unhideWhenUsed/>
    <w:rsid w:val="00DB358F"/>
    <w:pPr>
      <w:tabs>
        <w:tab w:val="center" w:pos="4153"/>
        <w:tab w:val="right" w:pos="8306"/>
      </w:tabs>
      <w:snapToGrid w:val="0"/>
      <w:jc w:val="left"/>
    </w:pPr>
    <w:rPr>
      <w:sz w:val="18"/>
      <w:szCs w:val="18"/>
    </w:rPr>
  </w:style>
  <w:style w:type="character" w:customStyle="1" w:styleId="a8">
    <w:name w:val="页脚 字符"/>
    <w:basedOn w:val="a0"/>
    <w:link w:val="a7"/>
    <w:uiPriority w:val="99"/>
    <w:rsid w:val="00DB35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EB307-B43D-47CA-BCE9-07294A013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EDE5E-B3FC-487E-B116-8AD6A7F1C92D}">
  <ds:schemaRefs>
    <ds:schemaRef ds:uri="http://schemas.microsoft.com/sharepoint/v3/contenttype/forms"/>
  </ds:schemaRefs>
</ds:datastoreItem>
</file>

<file path=customXml/itemProps3.xml><?xml version="1.0" encoding="utf-8"?>
<ds:datastoreItem xmlns:ds="http://schemas.openxmlformats.org/officeDocument/2006/customXml" ds:itemID="{475C72FD-FFC7-45E9-B501-07E2475D0D40}">
  <ds:schemaRefs>
    <ds:schemaRef ds:uri="http://schemas.openxmlformats.org/package/2006/metadata/core-properties"/>
    <ds:schemaRef ds:uri="http://purl.org/dc/terms/"/>
    <ds:schemaRef ds:uri="http://purl.org/dc/elements/1.1/"/>
    <ds:schemaRef ds:uri="http://schemas.microsoft.com/office/2006/documentManagement/types"/>
    <ds:schemaRef ds:uri="4f16167e-0980-47ed-bfa9-106d2637988c"/>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2048</Words>
  <Characters>11675</Characters>
  <Application>Microsoft Office Word</Application>
  <DocSecurity>0</DocSecurity>
  <Lines>97</Lines>
  <Paragraphs>27</Paragraphs>
  <ScaleCrop>false</ScaleCrop>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2020-01-22T15:34:00Z</dcterms:created>
  <dcterms:modified xsi:type="dcterms:W3CDTF">2020-01-22T15:38:00Z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