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B7D4" w14:textId="77777777" w:rsidR="00E77CBB" w:rsidRPr="00E77CBB" w:rsidRDefault="00E77CBB" w:rsidP="00E77CBB">
      <w:pPr>
        <w:adjustRightInd w:val="0"/>
        <w:snapToGrid w:val="0"/>
        <w:spacing w:line="580" w:lineRule="exact"/>
        <w:rPr>
          <w:rFonts w:ascii="黑体" w:eastAsia="黑体" w:hAnsi="黑体"/>
          <w:sz w:val="32"/>
          <w:szCs w:val="32"/>
        </w:rPr>
      </w:pPr>
      <w:bookmarkStart w:id="0" w:name="_GoBack"/>
      <w:bookmarkEnd w:id="0"/>
      <w:r w:rsidRPr="00E77CBB">
        <w:rPr>
          <w:rFonts w:ascii="黑体" w:eastAsia="黑体" w:hAnsi="黑体" w:hint="eastAsia"/>
          <w:sz w:val="32"/>
          <w:szCs w:val="32"/>
        </w:rPr>
        <w:t>附件5</w:t>
      </w:r>
    </w:p>
    <w:p w14:paraId="69CBFCA1" w14:textId="77777777" w:rsidR="00E77CBB" w:rsidRPr="002D3CB5" w:rsidRDefault="00E77CBB" w:rsidP="00E77CBB">
      <w:pPr>
        <w:adjustRightInd w:val="0"/>
        <w:snapToGrid w:val="0"/>
        <w:spacing w:line="580" w:lineRule="exact"/>
        <w:rPr>
          <w:rFonts w:ascii="仿宋_GB2312" w:eastAsia="仿宋_GB2312"/>
          <w:sz w:val="32"/>
          <w:szCs w:val="32"/>
        </w:rPr>
      </w:pPr>
    </w:p>
    <w:p w14:paraId="51A7AAAB" w14:textId="77777777" w:rsidR="00E77CBB" w:rsidRPr="002D3CB5" w:rsidRDefault="00E77CBB" w:rsidP="00E77CBB">
      <w:pPr>
        <w:adjustRightInd w:val="0"/>
        <w:snapToGrid w:val="0"/>
        <w:spacing w:line="580" w:lineRule="exact"/>
        <w:ind w:firstLine="640"/>
        <w:jc w:val="center"/>
        <w:rPr>
          <w:rFonts w:ascii="宋体" w:hAnsi="宋体"/>
          <w:b/>
          <w:color w:val="000000"/>
          <w:sz w:val="44"/>
          <w:szCs w:val="44"/>
        </w:rPr>
      </w:pPr>
      <w:r w:rsidRPr="002D3CB5">
        <w:rPr>
          <w:rFonts w:ascii="宋体" w:hAnsi="宋体" w:hint="eastAsia"/>
          <w:b/>
          <w:color w:val="000000"/>
          <w:sz w:val="44"/>
          <w:szCs w:val="44"/>
        </w:rPr>
        <w:t>大连商品交易所风险管理办法</w:t>
      </w:r>
    </w:p>
    <w:p w14:paraId="284B3777" w14:textId="77777777" w:rsidR="00E77CBB" w:rsidRPr="002D3CB5" w:rsidRDefault="00E77CBB" w:rsidP="00E77CBB">
      <w:pPr>
        <w:adjustRightInd w:val="0"/>
        <w:snapToGrid w:val="0"/>
        <w:spacing w:line="580" w:lineRule="exact"/>
        <w:ind w:firstLine="640"/>
        <w:jc w:val="center"/>
        <w:rPr>
          <w:rFonts w:ascii="宋体" w:hAnsi="宋体"/>
          <w:b/>
          <w:color w:val="000000"/>
          <w:sz w:val="44"/>
          <w:szCs w:val="44"/>
        </w:rPr>
      </w:pPr>
      <w:r w:rsidRPr="002D3CB5">
        <w:rPr>
          <w:rFonts w:ascii="宋体" w:hAnsi="宋体" w:hint="eastAsia"/>
          <w:b/>
          <w:color w:val="000000"/>
          <w:sz w:val="44"/>
          <w:szCs w:val="44"/>
        </w:rPr>
        <w:t>（修正案征求意见稿）</w:t>
      </w:r>
    </w:p>
    <w:p w14:paraId="689BA5CC" w14:textId="77777777" w:rsidR="00E77CBB" w:rsidRPr="002D3CB5" w:rsidRDefault="00E77CBB" w:rsidP="00E77CBB">
      <w:pPr>
        <w:adjustRightInd w:val="0"/>
        <w:snapToGrid w:val="0"/>
        <w:spacing w:line="580" w:lineRule="exact"/>
        <w:ind w:firstLine="640"/>
        <w:jc w:val="center"/>
        <w:rPr>
          <w:rFonts w:ascii="宋体" w:hAnsi="宋体"/>
          <w:color w:val="000000"/>
          <w:sz w:val="32"/>
          <w:szCs w:val="32"/>
        </w:rPr>
      </w:pPr>
    </w:p>
    <w:p w14:paraId="36346D95" w14:textId="77777777" w:rsidR="00E77CBB" w:rsidRPr="002D3CB5" w:rsidRDefault="00E77CBB" w:rsidP="00E77CBB">
      <w:pPr>
        <w:adjustRightInd w:val="0"/>
        <w:snapToGrid w:val="0"/>
        <w:spacing w:line="580" w:lineRule="exact"/>
        <w:ind w:firstLine="640"/>
        <w:rPr>
          <w:rFonts w:ascii="仿宋_GB2312" w:eastAsia="仿宋_GB2312"/>
          <w:color w:val="000000"/>
          <w:sz w:val="32"/>
          <w:szCs w:val="32"/>
        </w:rPr>
      </w:pPr>
      <w:r w:rsidRPr="002D3CB5">
        <w:rPr>
          <w:rFonts w:ascii="仿宋_GB2312" w:eastAsia="仿宋_GB2312" w:hint="eastAsia"/>
          <w:color w:val="000000"/>
          <w:sz w:val="32"/>
          <w:szCs w:val="32"/>
        </w:rPr>
        <w:t>第二十九条  除鸡蛋、乙二醇品种外，各品种期货合约一般月份（合约上市至交割月份前一个月第十四个交易日）非期货公司会员和客户持仓限额见下表：（单位：手）</w:t>
      </w:r>
    </w:p>
    <w:tbl>
      <w:tblPr>
        <w:tblW w:w="5000" w:type="pct"/>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1641"/>
        <w:gridCol w:w="2470"/>
        <w:gridCol w:w="2163"/>
        <w:gridCol w:w="2016"/>
      </w:tblGrid>
      <w:tr w:rsidR="00E77CBB" w:rsidRPr="002D3CB5" w14:paraId="28F07B33" w14:textId="77777777" w:rsidTr="00036FD6">
        <w:tc>
          <w:tcPr>
            <w:tcW w:w="0" w:type="auto"/>
            <w:tcBorders>
              <w:top w:val="single" w:sz="6" w:space="0" w:color="auto"/>
              <w:left w:val="single" w:sz="6" w:space="0" w:color="auto"/>
              <w:bottom w:val="single" w:sz="6" w:space="0" w:color="auto"/>
              <w:right w:val="single" w:sz="6" w:space="0" w:color="auto"/>
            </w:tcBorders>
            <w:noWrap/>
            <w:vAlign w:val="center"/>
            <w:hideMark/>
          </w:tcPr>
          <w:p w14:paraId="145CCB3E"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品种</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DC265"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合约单边持仓规模</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715D"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非期货公司会员</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BA01"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客户</w:t>
            </w:r>
          </w:p>
        </w:tc>
      </w:tr>
      <w:tr w:rsidR="00E77CBB" w:rsidRPr="002D3CB5" w14:paraId="302A22BD" w14:textId="77777777" w:rsidTr="00036FD6">
        <w:trPr>
          <w:trHeight w:val="249"/>
        </w:trPr>
        <w:tc>
          <w:tcPr>
            <w:tcW w:w="0" w:type="auto"/>
            <w:tcBorders>
              <w:top w:val="single" w:sz="6" w:space="0" w:color="auto"/>
              <w:left w:val="single" w:sz="6" w:space="0" w:color="auto"/>
              <w:bottom w:val="single" w:sz="6" w:space="0" w:color="auto"/>
              <w:right w:val="single" w:sz="6" w:space="0" w:color="auto"/>
            </w:tcBorders>
            <w:noWrap/>
            <w:vAlign w:val="center"/>
            <w:hideMark/>
          </w:tcPr>
          <w:p w14:paraId="2CB32E44"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BF44"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885F"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50F2"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r>
      <w:tr w:rsidR="00E77CBB" w:rsidRPr="002D3CB5" w14:paraId="7577A16E" w14:textId="77777777" w:rsidTr="00036FD6">
        <w:tc>
          <w:tcPr>
            <w:tcW w:w="0" w:type="auto"/>
            <w:vMerge w:val="restart"/>
            <w:tcBorders>
              <w:top w:val="single" w:sz="6" w:space="0" w:color="auto"/>
              <w:left w:val="single" w:sz="6" w:space="0" w:color="auto"/>
              <w:bottom w:val="single" w:sz="6" w:space="0" w:color="auto"/>
              <w:right w:val="single" w:sz="6" w:space="0" w:color="auto"/>
            </w:tcBorders>
            <w:noWrap/>
            <w:vAlign w:val="center"/>
            <w:hideMark/>
          </w:tcPr>
          <w:p w14:paraId="5B8389CB"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液化石油气</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287B"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单边持仓≤80,000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FDA91"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0A505"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8,000</w:t>
            </w:r>
          </w:p>
        </w:tc>
      </w:tr>
      <w:tr w:rsidR="00E77CBB" w:rsidRPr="002D3CB5" w14:paraId="4D12D200" w14:textId="77777777" w:rsidTr="00036FD6">
        <w:trPr>
          <w:trHeight w:val="33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78F964" w14:textId="77777777" w:rsidR="00E77CBB" w:rsidRPr="002D3CB5" w:rsidRDefault="00E77CBB" w:rsidP="00036FD6">
            <w:pPr>
              <w:widowControl/>
              <w:jc w:val="left"/>
              <w:rPr>
                <w:rFonts w:ascii="仿宋_GB2312" w:eastAsia="仿宋_GB2312" w:hAnsi="宋体"/>
                <w:color w:val="000000"/>
                <w:sz w:val="32"/>
                <w:szCs w:val="32"/>
                <w:shd w:val="pct15" w:color="auto" w:fill="FFFFFF"/>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0431B2"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单边持仓＞80,000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2E44"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单边持仓×10%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ADD0"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单边持仓×10%</w:t>
            </w:r>
          </w:p>
        </w:tc>
      </w:tr>
    </w:tbl>
    <w:p w14:paraId="660F2C74" w14:textId="77777777" w:rsidR="00E77CBB" w:rsidRPr="002D3CB5" w:rsidRDefault="00E77CBB" w:rsidP="00E77CBB">
      <w:pPr>
        <w:adjustRightInd w:val="0"/>
        <w:snapToGrid w:val="0"/>
        <w:spacing w:line="580" w:lineRule="exact"/>
        <w:ind w:firstLine="640"/>
        <w:rPr>
          <w:rFonts w:ascii="仿宋_GB2312" w:eastAsia="仿宋_GB2312" w:hAnsi="Calibri" w:cs="Calibri"/>
          <w:color w:val="000000"/>
          <w:sz w:val="32"/>
          <w:szCs w:val="32"/>
        </w:rPr>
      </w:pPr>
      <w:r w:rsidRPr="002D3CB5">
        <w:rPr>
          <w:rFonts w:ascii="仿宋_GB2312" w:eastAsia="仿宋_GB2312" w:hint="eastAsia"/>
          <w:color w:val="000000"/>
          <w:sz w:val="32"/>
          <w:szCs w:val="32"/>
        </w:rPr>
        <w:t>除鸡蛋、乙二醇品种外，各品种期货合约自交割月份前一个月第十五个交易日至交割月期间非期货公司会员和客户持仓限额见下表，交割月份个人客户持仓限额为0：（单位：手）</w:t>
      </w:r>
    </w:p>
    <w:tbl>
      <w:tblPr>
        <w:tblW w:w="5000" w:type="pct"/>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1640"/>
        <w:gridCol w:w="3325"/>
        <w:gridCol w:w="2334"/>
        <w:gridCol w:w="991"/>
      </w:tblGrid>
      <w:tr w:rsidR="00E77CBB" w:rsidRPr="002D3CB5" w14:paraId="70C41549" w14:textId="77777777" w:rsidTr="00036FD6">
        <w:tc>
          <w:tcPr>
            <w:tcW w:w="850" w:type="pct"/>
            <w:tcBorders>
              <w:top w:val="single" w:sz="6" w:space="0" w:color="auto"/>
              <w:left w:val="single" w:sz="6" w:space="0" w:color="auto"/>
              <w:bottom w:val="single" w:sz="6" w:space="0" w:color="auto"/>
              <w:right w:val="single" w:sz="6" w:space="0" w:color="auto"/>
            </w:tcBorders>
            <w:noWrap/>
            <w:vAlign w:val="center"/>
            <w:hideMark/>
          </w:tcPr>
          <w:p w14:paraId="6F2951E7"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品种</w:t>
            </w:r>
          </w:p>
        </w:tc>
        <w:tc>
          <w:tcPr>
            <w:tcW w:w="2052" w:type="pct"/>
            <w:tcBorders>
              <w:top w:val="single" w:sz="6" w:space="0" w:color="auto"/>
              <w:left w:val="single" w:sz="6" w:space="0" w:color="auto"/>
              <w:bottom w:val="single" w:sz="6" w:space="0" w:color="auto"/>
              <w:right w:val="single" w:sz="6" w:space="0" w:color="auto"/>
            </w:tcBorders>
            <w:vAlign w:val="center"/>
            <w:hideMark/>
          </w:tcPr>
          <w:p w14:paraId="1F37FD1C"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时间段</w:t>
            </w:r>
          </w:p>
        </w:tc>
        <w:tc>
          <w:tcPr>
            <w:tcW w:w="1454" w:type="pct"/>
            <w:tcBorders>
              <w:top w:val="single" w:sz="6" w:space="0" w:color="auto"/>
              <w:left w:val="single" w:sz="6" w:space="0" w:color="auto"/>
              <w:bottom w:val="single" w:sz="6" w:space="0" w:color="auto"/>
              <w:right w:val="single" w:sz="6" w:space="0" w:color="auto"/>
            </w:tcBorders>
            <w:vAlign w:val="center"/>
            <w:hideMark/>
          </w:tcPr>
          <w:p w14:paraId="41F5EE1E"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非期货公司会员</w:t>
            </w:r>
          </w:p>
        </w:tc>
        <w:tc>
          <w:tcPr>
            <w:tcW w:w="644" w:type="pct"/>
            <w:tcBorders>
              <w:top w:val="single" w:sz="6" w:space="0" w:color="auto"/>
              <w:left w:val="single" w:sz="6" w:space="0" w:color="auto"/>
              <w:bottom w:val="single" w:sz="6" w:space="0" w:color="auto"/>
              <w:right w:val="single" w:sz="6" w:space="0" w:color="auto"/>
            </w:tcBorders>
            <w:vAlign w:val="center"/>
            <w:hideMark/>
          </w:tcPr>
          <w:p w14:paraId="12BCD1AA"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客户</w:t>
            </w:r>
          </w:p>
        </w:tc>
      </w:tr>
      <w:tr w:rsidR="00E77CBB" w:rsidRPr="002D3CB5" w14:paraId="2C9CCE78" w14:textId="77777777" w:rsidTr="00036FD6">
        <w:trPr>
          <w:trHeight w:val="362"/>
        </w:trPr>
        <w:tc>
          <w:tcPr>
            <w:tcW w:w="850" w:type="pct"/>
            <w:tcBorders>
              <w:top w:val="single" w:sz="6" w:space="0" w:color="auto"/>
              <w:left w:val="single" w:sz="6" w:space="0" w:color="auto"/>
              <w:bottom w:val="single" w:sz="6" w:space="0" w:color="auto"/>
              <w:right w:val="single" w:sz="6" w:space="0" w:color="auto"/>
            </w:tcBorders>
            <w:noWrap/>
            <w:vAlign w:val="center"/>
            <w:hideMark/>
          </w:tcPr>
          <w:p w14:paraId="2D718A01"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2052" w:type="pct"/>
            <w:tcBorders>
              <w:top w:val="single" w:sz="6" w:space="0" w:color="auto"/>
              <w:left w:val="single" w:sz="6" w:space="0" w:color="auto"/>
              <w:bottom w:val="single" w:sz="6" w:space="0" w:color="auto"/>
              <w:right w:val="single" w:sz="6" w:space="0" w:color="auto"/>
            </w:tcBorders>
            <w:vAlign w:val="center"/>
            <w:hideMark/>
          </w:tcPr>
          <w:p w14:paraId="77C82532"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1454" w:type="pct"/>
            <w:tcBorders>
              <w:top w:val="single" w:sz="6" w:space="0" w:color="auto"/>
              <w:left w:val="single" w:sz="6" w:space="0" w:color="auto"/>
              <w:bottom w:val="single" w:sz="6" w:space="0" w:color="auto"/>
              <w:right w:val="single" w:sz="6" w:space="0" w:color="auto"/>
            </w:tcBorders>
            <w:vAlign w:val="center"/>
            <w:hideMark/>
          </w:tcPr>
          <w:p w14:paraId="5447F163"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c>
          <w:tcPr>
            <w:tcW w:w="644" w:type="pct"/>
            <w:tcBorders>
              <w:top w:val="single" w:sz="6" w:space="0" w:color="auto"/>
              <w:left w:val="single" w:sz="6" w:space="0" w:color="auto"/>
              <w:bottom w:val="single" w:sz="6" w:space="0" w:color="auto"/>
              <w:right w:val="single" w:sz="6" w:space="0" w:color="auto"/>
            </w:tcBorders>
            <w:vAlign w:val="center"/>
            <w:hideMark/>
          </w:tcPr>
          <w:p w14:paraId="6704577A"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cs="宋体" w:hint="eastAsia"/>
                <w:color w:val="000000"/>
                <w:kern w:val="0"/>
                <w:sz w:val="32"/>
                <w:szCs w:val="32"/>
              </w:rPr>
              <w:t>……</w:t>
            </w:r>
          </w:p>
        </w:tc>
      </w:tr>
      <w:tr w:rsidR="00E77CBB" w:rsidRPr="002D3CB5" w14:paraId="14858F81" w14:textId="77777777" w:rsidTr="00036FD6">
        <w:tc>
          <w:tcPr>
            <w:tcW w:w="850" w:type="pct"/>
            <w:vMerge w:val="restart"/>
            <w:tcBorders>
              <w:top w:val="single" w:sz="6" w:space="0" w:color="auto"/>
              <w:left w:val="single" w:sz="6" w:space="0" w:color="auto"/>
              <w:bottom w:val="single" w:sz="6" w:space="0" w:color="auto"/>
              <w:right w:val="single" w:sz="6" w:space="0" w:color="auto"/>
            </w:tcBorders>
            <w:noWrap/>
            <w:vAlign w:val="center"/>
            <w:hideMark/>
          </w:tcPr>
          <w:p w14:paraId="16A9A1B2"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液化石油气</w:t>
            </w:r>
          </w:p>
        </w:tc>
        <w:tc>
          <w:tcPr>
            <w:tcW w:w="2052" w:type="pct"/>
            <w:tcBorders>
              <w:top w:val="single" w:sz="6" w:space="0" w:color="auto"/>
              <w:left w:val="single" w:sz="6" w:space="0" w:color="auto"/>
              <w:bottom w:val="single" w:sz="6" w:space="0" w:color="auto"/>
              <w:right w:val="single" w:sz="6" w:space="0" w:color="auto"/>
            </w:tcBorders>
            <w:vAlign w:val="center"/>
            <w:hideMark/>
          </w:tcPr>
          <w:p w14:paraId="04ACE3D0" w14:textId="77777777" w:rsidR="00E77CBB" w:rsidRPr="002D3CB5" w:rsidRDefault="00E77CBB" w:rsidP="00036FD6">
            <w:pPr>
              <w:adjustRightInd w:val="0"/>
              <w:snapToGrid w:val="0"/>
              <w:spacing w:line="580" w:lineRule="exact"/>
              <w:jc w:val="left"/>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交割月前一个月第十五个交易日起</w:t>
            </w:r>
          </w:p>
        </w:tc>
        <w:tc>
          <w:tcPr>
            <w:tcW w:w="1454" w:type="pct"/>
            <w:tcBorders>
              <w:top w:val="single" w:sz="6" w:space="0" w:color="auto"/>
              <w:left w:val="single" w:sz="6" w:space="0" w:color="auto"/>
              <w:bottom w:val="single" w:sz="6" w:space="0" w:color="auto"/>
              <w:right w:val="single" w:sz="6" w:space="0" w:color="auto"/>
            </w:tcBorders>
            <w:vAlign w:val="center"/>
            <w:hideMark/>
          </w:tcPr>
          <w:p w14:paraId="77AC543D"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1,000</w:t>
            </w:r>
          </w:p>
        </w:tc>
        <w:tc>
          <w:tcPr>
            <w:tcW w:w="644" w:type="pct"/>
            <w:tcBorders>
              <w:top w:val="single" w:sz="6" w:space="0" w:color="auto"/>
              <w:left w:val="single" w:sz="6" w:space="0" w:color="auto"/>
              <w:bottom w:val="single" w:sz="6" w:space="0" w:color="auto"/>
              <w:right w:val="single" w:sz="6" w:space="0" w:color="auto"/>
            </w:tcBorders>
            <w:vAlign w:val="center"/>
            <w:hideMark/>
          </w:tcPr>
          <w:p w14:paraId="29289269" w14:textId="77777777" w:rsidR="00E77CBB" w:rsidRPr="002D3CB5" w:rsidRDefault="00E77CBB" w:rsidP="00036FD6">
            <w:pPr>
              <w:adjustRightInd w:val="0"/>
              <w:snapToGrid w:val="0"/>
              <w:spacing w:line="580" w:lineRule="exact"/>
              <w:jc w:val="center"/>
              <w:rPr>
                <w:rFonts w:ascii="仿宋_GB2312" w:eastAsia="仿宋_GB2312" w:hAnsi="宋体"/>
                <w:color w:val="000000"/>
                <w:sz w:val="32"/>
                <w:szCs w:val="32"/>
                <w:shd w:val="pct15" w:color="auto" w:fill="FFFFFF"/>
              </w:rPr>
            </w:pPr>
            <w:r w:rsidRPr="002D3CB5">
              <w:rPr>
                <w:rFonts w:ascii="仿宋_GB2312" w:eastAsia="仿宋_GB2312" w:hAnsi="宋体" w:hint="eastAsia"/>
                <w:color w:val="000000"/>
                <w:sz w:val="32"/>
                <w:szCs w:val="32"/>
                <w:shd w:val="pct15" w:color="auto" w:fill="FFFFFF"/>
              </w:rPr>
              <w:t>1,000</w:t>
            </w:r>
          </w:p>
        </w:tc>
      </w:tr>
      <w:tr w:rsidR="00E77CBB" w:rsidRPr="002D3CB5" w14:paraId="7FF4A1F5" w14:textId="77777777" w:rsidTr="00036FD6">
        <w:tc>
          <w:tcPr>
            <w:tcW w:w="0" w:type="auto"/>
            <w:vMerge/>
            <w:tcBorders>
              <w:top w:val="single" w:sz="6" w:space="0" w:color="auto"/>
              <w:left w:val="single" w:sz="6" w:space="0" w:color="auto"/>
              <w:bottom w:val="single" w:sz="6" w:space="0" w:color="auto"/>
              <w:right w:val="single" w:sz="6" w:space="0" w:color="auto"/>
            </w:tcBorders>
            <w:vAlign w:val="center"/>
            <w:hideMark/>
          </w:tcPr>
          <w:p w14:paraId="62DEF4AB" w14:textId="77777777" w:rsidR="00E77CBB" w:rsidRPr="002D3CB5" w:rsidRDefault="00E77CBB" w:rsidP="00036FD6">
            <w:pPr>
              <w:widowControl/>
              <w:jc w:val="left"/>
              <w:rPr>
                <w:rFonts w:ascii="仿宋_GB2312" w:eastAsia="仿宋_GB2312" w:hAnsi="宋体"/>
                <w:color w:val="000000"/>
                <w:sz w:val="32"/>
                <w:szCs w:val="32"/>
                <w:shd w:val="pct15" w:color="auto" w:fill="FFFFFF"/>
              </w:rPr>
            </w:pPr>
          </w:p>
        </w:tc>
        <w:tc>
          <w:tcPr>
            <w:tcW w:w="2052" w:type="pct"/>
            <w:tcBorders>
              <w:top w:val="single" w:sz="6" w:space="0" w:color="auto"/>
              <w:left w:val="single" w:sz="6" w:space="0" w:color="auto"/>
              <w:bottom w:val="single" w:sz="6" w:space="0" w:color="auto"/>
              <w:right w:val="single" w:sz="6" w:space="0" w:color="auto"/>
            </w:tcBorders>
            <w:vAlign w:val="center"/>
            <w:hideMark/>
          </w:tcPr>
          <w:p w14:paraId="1E5D35CA" w14:textId="77777777" w:rsidR="00E77CBB" w:rsidRPr="002D3CB5" w:rsidRDefault="00E77CBB" w:rsidP="00036FD6">
            <w:pPr>
              <w:widowControl/>
              <w:adjustRightInd w:val="0"/>
              <w:snapToGrid w:val="0"/>
              <w:spacing w:line="580" w:lineRule="exact"/>
              <w:jc w:val="left"/>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交割月份</w:t>
            </w:r>
          </w:p>
        </w:tc>
        <w:tc>
          <w:tcPr>
            <w:tcW w:w="1454" w:type="pct"/>
            <w:tcBorders>
              <w:top w:val="single" w:sz="6" w:space="0" w:color="auto"/>
              <w:left w:val="single" w:sz="6" w:space="0" w:color="auto"/>
              <w:bottom w:val="single" w:sz="6" w:space="0" w:color="auto"/>
              <w:right w:val="single" w:sz="6" w:space="0" w:color="auto"/>
            </w:tcBorders>
            <w:vAlign w:val="center"/>
            <w:hideMark/>
          </w:tcPr>
          <w:p w14:paraId="78E54EE9"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500</w:t>
            </w:r>
          </w:p>
        </w:tc>
        <w:tc>
          <w:tcPr>
            <w:tcW w:w="644" w:type="pct"/>
            <w:tcBorders>
              <w:top w:val="single" w:sz="6" w:space="0" w:color="auto"/>
              <w:left w:val="single" w:sz="6" w:space="0" w:color="auto"/>
              <w:bottom w:val="single" w:sz="6" w:space="0" w:color="auto"/>
              <w:right w:val="single" w:sz="6" w:space="0" w:color="auto"/>
            </w:tcBorders>
            <w:vAlign w:val="center"/>
            <w:hideMark/>
          </w:tcPr>
          <w:p w14:paraId="10113A42" w14:textId="77777777" w:rsidR="00E77CBB" w:rsidRPr="002D3CB5" w:rsidRDefault="00E77CBB" w:rsidP="00036FD6">
            <w:pPr>
              <w:widowControl/>
              <w:adjustRightInd w:val="0"/>
              <w:snapToGrid w:val="0"/>
              <w:spacing w:line="580" w:lineRule="exact"/>
              <w:jc w:val="center"/>
              <w:rPr>
                <w:rFonts w:ascii="仿宋_GB2312" w:eastAsia="仿宋_GB2312" w:hAnsi="宋体" w:cs="宋体"/>
                <w:color w:val="000000"/>
                <w:kern w:val="0"/>
                <w:sz w:val="32"/>
                <w:szCs w:val="32"/>
              </w:rPr>
            </w:pPr>
            <w:r w:rsidRPr="002D3CB5">
              <w:rPr>
                <w:rFonts w:ascii="仿宋_GB2312" w:eastAsia="仿宋_GB2312" w:hAnsi="宋体" w:hint="eastAsia"/>
                <w:color w:val="000000"/>
                <w:sz w:val="32"/>
                <w:szCs w:val="32"/>
                <w:shd w:val="pct15" w:color="auto" w:fill="FFFFFF"/>
              </w:rPr>
              <w:t>500</w:t>
            </w:r>
          </w:p>
        </w:tc>
      </w:tr>
    </w:tbl>
    <w:p w14:paraId="66F625BE" w14:textId="77777777" w:rsidR="00E77CBB" w:rsidRPr="002D3CB5" w:rsidRDefault="00E77CBB" w:rsidP="00E77CBB">
      <w:pPr>
        <w:adjustRightInd w:val="0"/>
        <w:snapToGrid w:val="0"/>
        <w:spacing w:line="580" w:lineRule="exact"/>
        <w:ind w:firstLine="640"/>
        <w:rPr>
          <w:rFonts w:ascii="仿宋_GB2312" w:eastAsia="仿宋_GB2312" w:hAnsi="Calibri" w:cs="Calibri"/>
          <w:color w:val="000000"/>
          <w:sz w:val="32"/>
          <w:szCs w:val="32"/>
        </w:rPr>
      </w:pPr>
      <w:r w:rsidRPr="002D3CB5">
        <w:rPr>
          <w:rFonts w:ascii="仿宋_GB2312" w:eastAsia="仿宋_GB2312" w:hAnsi="Calibri" w:cs="Calibri" w:hint="eastAsia"/>
          <w:color w:val="000000"/>
          <w:sz w:val="32"/>
          <w:szCs w:val="32"/>
        </w:rPr>
        <w:t>……</w:t>
      </w:r>
    </w:p>
    <w:p w14:paraId="0C12E00A" w14:textId="77777777" w:rsidR="00E77CBB" w:rsidRPr="002D3CB5" w:rsidRDefault="00E77CBB" w:rsidP="00E77CBB">
      <w:pPr>
        <w:adjustRightInd w:val="0"/>
        <w:snapToGrid w:val="0"/>
        <w:ind w:firstLineChars="200" w:firstLine="520"/>
        <w:rPr>
          <w:rFonts w:ascii="楷体" w:eastAsia="楷体" w:hAnsi="楷体"/>
        </w:rPr>
      </w:pPr>
      <w:r w:rsidRPr="002D3CB5">
        <w:rPr>
          <w:rFonts w:ascii="楷体" w:eastAsia="楷体" w:hAnsi="楷体" w:cs="仿宋_GB2312" w:hint="eastAsia"/>
          <w:color w:val="000000"/>
          <w:spacing w:val="-10"/>
          <w:sz w:val="28"/>
          <w:szCs w:val="28"/>
        </w:rPr>
        <w:t>注：阴影部分为新增内容， “……”（省略号）含义为该条款未修改的其他内容。</w:t>
      </w:r>
    </w:p>
    <w:p w14:paraId="4B299655" w14:textId="77777777" w:rsidR="00E77CBB" w:rsidRPr="002D3CB5" w:rsidRDefault="00E77CBB" w:rsidP="00E77CBB">
      <w:pPr>
        <w:adjustRightInd w:val="0"/>
        <w:snapToGrid w:val="0"/>
        <w:rPr>
          <w:rFonts w:ascii="仿宋_GB2312" w:eastAsia="仿宋_GB2312"/>
          <w:sz w:val="32"/>
          <w:szCs w:val="32"/>
        </w:rPr>
      </w:pPr>
    </w:p>
    <w:p w14:paraId="39F88F6A" w14:textId="2B9A7143" w:rsidR="00A2554E" w:rsidRPr="00153BD6" w:rsidRDefault="00A2554E" w:rsidP="00C45AAB">
      <w:pPr>
        <w:ind w:firstLineChars="200" w:firstLine="420"/>
      </w:pPr>
    </w:p>
    <w:sectPr w:rsidR="00A2554E" w:rsidRPr="00153B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A113" w14:textId="77777777" w:rsidR="006E72A7" w:rsidRDefault="006E72A7" w:rsidP="00BB77D7">
      <w:r>
        <w:separator/>
      </w:r>
    </w:p>
  </w:endnote>
  <w:endnote w:type="continuationSeparator" w:id="0">
    <w:p w14:paraId="494005A4" w14:textId="77777777" w:rsidR="006E72A7" w:rsidRDefault="006E72A7" w:rsidP="00B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96651"/>
      <w:docPartObj>
        <w:docPartGallery w:val="Page Numbers (Bottom of Page)"/>
        <w:docPartUnique/>
      </w:docPartObj>
    </w:sdtPr>
    <w:sdtContent>
      <w:p w14:paraId="7AFE21E2" w14:textId="37874653" w:rsidR="006E72A7" w:rsidRDefault="006E72A7" w:rsidP="00F1647D">
        <w:pPr>
          <w:pStyle w:val="a7"/>
          <w:jc w:val="center"/>
          <w:rPr>
            <w:rFonts w:hint="eastAsia"/>
          </w:rPr>
        </w:pPr>
        <w:r>
          <w:fldChar w:fldCharType="begin"/>
        </w:r>
        <w:r>
          <w:instrText>PAGE   \* MERGEFORMAT</w:instrText>
        </w:r>
        <w:r>
          <w:fldChar w:fldCharType="separate"/>
        </w:r>
        <w:r w:rsidR="00E77CBB" w:rsidRPr="00E77CB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BB6" w14:textId="77777777" w:rsidR="006E72A7" w:rsidRDefault="006E72A7" w:rsidP="00BB77D7">
      <w:r>
        <w:separator/>
      </w:r>
    </w:p>
  </w:footnote>
  <w:footnote w:type="continuationSeparator" w:id="0">
    <w:p w14:paraId="1AB2FE9A" w14:textId="77777777" w:rsidR="006E72A7" w:rsidRDefault="006E72A7" w:rsidP="00BB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28"/>
    <w:rsid w:val="00051755"/>
    <w:rsid w:val="00153BD6"/>
    <w:rsid w:val="001777FF"/>
    <w:rsid w:val="00181574"/>
    <w:rsid w:val="00224528"/>
    <w:rsid w:val="00381054"/>
    <w:rsid w:val="00451997"/>
    <w:rsid w:val="006E72A7"/>
    <w:rsid w:val="007B1EC4"/>
    <w:rsid w:val="00924C8B"/>
    <w:rsid w:val="00A2554E"/>
    <w:rsid w:val="00B50BEE"/>
    <w:rsid w:val="00BB77D7"/>
    <w:rsid w:val="00C45AAB"/>
    <w:rsid w:val="00E77CBB"/>
    <w:rsid w:val="00F1647D"/>
    <w:rsid w:val="00FE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4C81"/>
  <w15:chartTrackingRefBased/>
  <w15:docId w15:val="{01E7FC27-67BB-4A37-9BE4-3957538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BB77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77D7"/>
    <w:rPr>
      <w:sz w:val="18"/>
      <w:szCs w:val="18"/>
    </w:rPr>
  </w:style>
  <w:style w:type="paragraph" w:styleId="a7">
    <w:name w:val="footer"/>
    <w:basedOn w:val="a"/>
    <w:link w:val="a8"/>
    <w:uiPriority w:val="99"/>
    <w:unhideWhenUsed/>
    <w:rsid w:val="00BB77D7"/>
    <w:pPr>
      <w:tabs>
        <w:tab w:val="center" w:pos="4153"/>
        <w:tab w:val="right" w:pos="8306"/>
      </w:tabs>
      <w:snapToGrid w:val="0"/>
      <w:jc w:val="left"/>
    </w:pPr>
    <w:rPr>
      <w:sz w:val="18"/>
      <w:szCs w:val="18"/>
    </w:rPr>
  </w:style>
  <w:style w:type="character" w:customStyle="1" w:styleId="a8">
    <w:name w:val="页脚 字符"/>
    <w:basedOn w:val="a0"/>
    <w:link w:val="a7"/>
    <w:uiPriority w:val="99"/>
    <w:rsid w:val="00BB7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1169-759B-4179-8EA0-88A5DDC6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5EE2E-5E0A-4071-855B-DC1EEB0345C9}">
  <ds:schemaRefs>
    <ds:schemaRef ds:uri="http://schemas.microsoft.com/sharepoint/v3/contenttype/forms"/>
  </ds:schemaRefs>
</ds:datastoreItem>
</file>

<file path=customXml/itemProps3.xml><?xml version="1.0" encoding="utf-8"?>
<ds:datastoreItem xmlns:ds="http://schemas.openxmlformats.org/officeDocument/2006/customXml" ds:itemID="{003559E5-C579-468E-A623-0CCC3EFA042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4f16167e-0980-47ed-bfa9-106d2637988c"/>
    <ds:schemaRef ds:uri="http://purl.org/dc/dcmitype/"/>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2020-03-09T10:44:00Z</dcterms:created>
  <dcterms:modified xsi:type="dcterms:W3CDTF">2020-03-09T10:45:00Z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