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22D" w:rsidRPr="00CF722D" w:rsidRDefault="00CF722D" w:rsidP="00F60E04">
      <w:pPr>
        <w:keepNext/>
        <w:keepLines/>
        <w:widowControl w:val="0"/>
        <w:spacing w:line="560" w:lineRule="exact"/>
        <w:ind w:firstLineChars="0" w:firstLine="0"/>
        <w:jc w:val="center"/>
        <w:outlineLvl w:val="0"/>
        <w:rPr>
          <w:rFonts w:ascii="方正大标宋简体" w:eastAsia="方正大标宋简体" w:hAnsiTheme="minorHAnsi" w:cstheme="minorBidi"/>
          <w:bCs/>
          <w:kern w:val="44"/>
          <w:sz w:val="44"/>
          <w:szCs w:val="44"/>
        </w:rPr>
      </w:pPr>
      <w:r w:rsidRPr="00CF722D">
        <w:rPr>
          <w:rFonts w:ascii="方正大标宋简体" w:eastAsia="方正大标宋简体" w:hAnsiTheme="minorHAnsi" w:cstheme="minorBidi"/>
          <w:bCs/>
          <w:kern w:val="44"/>
          <w:sz w:val="44"/>
          <w:szCs w:val="44"/>
        </w:rPr>
        <w:t>中国金融期货交易所国债期货合约交割细则</w:t>
      </w:r>
    </w:p>
    <w:p w:rsidR="00CF722D" w:rsidRPr="00CF722D" w:rsidRDefault="00CF722D" w:rsidP="00F60E04">
      <w:pPr>
        <w:widowControl w:val="0"/>
        <w:snapToGrid w:val="0"/>
        <w:spacing w:line="560" w:lineRule="exact"/>
        <w:ind w:firstLineChars="0" w:firstLine="0"/>
        <w:jc w:val="center"/>
      </w:pPr>
    </w:p>
    <w:p w:rsidR="00CF722D" w:rsidRDefault="00CF722D" w:rsidP="00F60E04">
      <w:pPr>
        <w:widowControl w:val="0"/>
        <w:snapToGrid w:val="0"/>
        <w:spacing w:line="560" w:lineRule="exact"/>
        <w:ind w:firstLineChars="0" w:firstLine="0"/>
        <w:jc w:val="center"/>
      </w:pPr>
      <w:r w:rsidRPr="00CF722D">
        <w:t>（</w:t>
      </w:r>
      <w:r w:rsidRPr="00CF722D">
        <w:t>2015</w:t>
      </w:r>
      <w:r w:rsidRPr="00CF722D">
        <w:t>年</w:t>
      </w:r>
      <w:r w:rsidRPr="00CF722D">
        <w:t>7</w:t>
      </w:r>
      <w:r w:rsidRPr="00CF722D">
        <w:t>月</w:t>
      </w:r>
      <w:r w:rsidRPr="00CF722D">
        <w:t>1</w:t>
      </w:r>
      <w:r w:rsidRPr="00CF722D">
        <w:t>日实施</w:t>
      </w:r>
      <w:r w:rsidRPr="00CF722D">
        <w:t xml:space="preserve">  2017</w:t>
      </w:r>
      <w:r w:rsidRPr="00CF722D">
        <w:t>年</w:t>
      </w:r>
      <w:r w:rsidRPr="00CF722D">
        <w:t>1</w:t>
      </w:r>
      <w:r w:rsidRPr="00CF722D">
        <w:t>月</w:t>
      </w:r>
      <w:r w:rsidRPr="00CF722D">
        <w:t>4</w:t>
      </w:r>
      <w:r w:rsidRPr="00CF722D">
        <w:t>日第一次修订</w:t>
      </w:r>
    </w:p>
    <w:p w:rsidR="00CF722D" w:rsidRDefault="00CF722D" w:rsidP="00F60E04">
      <w:pPr>
        <w:widowControl w:val="0"/>
        <w:snapToGrid w:val="0"/>
        <w:spacing w:line="560" w:lineRule="exact"/>
        <w:ind w:firstLineChars="0" w:firstLine="0"/>
        <w:jc w:val="center"/>
      </w:pPr>
      <w:r w:rsidRPr="00CF722D">
        <w:rPr>
          <w:spacing w:val="-4"/>
        </w:rPr>
        <w:t>2018</w:t>
      </w:r>
      <w:r w:rsidRPr="00CF722D">
        <w:rPr>
          <w:spacing w:val="-4"/>
        </w:rPr>
        <w:t>年</w:t>
      </w:r>
      <w:r w:rsidRPr="00CF722D">
        <w:rPr>
          <w:spacing w:val="-4"/>
        </w:rPr>
        <w:t>8</w:t>
      </w:r>
      <w:r w:rsidRPr="00CF722D">
        <w:rPr>
          <w:spacing w:val="-4"/>
        </w:rPr>
        <w:t>月</w:t>
      </w:r>
      <w:r w:rsidRPr="00CF722D">
        <w:rPr>
          <w:spacing w:val="-4"/>
        </w:rPr>
        <w:t>6</w:t>
      </w:r>
      <w:r w:rsidRPr="00CF722D">
        <w:rPr>
          <w:spacing w:val="-4"/>
        </w:rPr>
        <w:t>日第二次修订</w:t>
      </w:r>
      <w:r w:rsidRPr="00CF722D">
        <w:rPr>
          <w:spacing w:val="-4"/>
        </w:rPr>
        <w:t xml:space="preserve"> </w:t>
      </w:r>
      <w:r w:rsidR="00AA624D">
        <w:rPr>
          <w:spacing w:val="-4"/>
        </w:rPr>
        <w:t xml:space="preserve"> </w:t>
      </w:r>
      <w:bookmarkStart w:id="0" w:name="_GoBack"/>
      <w:bookmarkEnd w:id="0"/>
      <w:r w:rsidRPr="00CF722D">
        <w:rPr>
          <w:spacing w:val="-4"/>
        </w:rPr>
        <w:t>2018</w:t>
      </w:r>
      <w:r w:rsidRPr="00CF722D">
        <w:rPr>
          <w:spacing w:val="-4"/>
        </w:rPr>
        <w:t>年</w:t>
      </w:r>
      <w:r w:rsidRPr="00CF722D">
        <w:rPr>
          <w:rFonts w:hint="eastAsia"/>
          <w:spacing w:val="-4"/>
        </w:rPr>
        <w:t>12</w:t>
      </w:r>
      <w:r w:rsidRPr="00CF722D">
        <w:rPr>
          <w:spacing w:val="-4"/>
        </w:rPr>
        <w:t>月</w:t>
      </w:r>
      <w:r w:rsidRPr="00CF722D">
        <w:rPr>
          <w:rFonts w:hint="eastAsia"/>
          <w:spacing w:val="-4"/>
        </w:rPr>
        <w:t>28</w:t>
      </w:r>
      <w:r w:rsidRPr="00CF722D">
        <w:rPr>
          <w:spacing w:val="-4"/>
        </w:rPr>
        <w:t>日第三次修订</w:t>
      </w:r>
    </w:p>
    <w:p w:rsidR="00CF722D" w:rsidRPr="00CF722D" w:rsidRDefault="00CF722D" w:rsidP="00F60E04">
      <w:pPr>
        <w:widowControl w:val="0"/>
        <w:snapToGrid w:val="0"/>
        <w:spacing w:line="560" w:lineRule="exact"/>
        <w:ind w:firstLineChars="0" w:firstLine="0"/>
        <w:jc w:val="center"/>
      </w:pPr>
      <w:r w:rsidRPr="00417073">
        <w:rPr>
          <w:rFonts w:hint="eastAsia"/>
          <w:spacing w:val="-4"/>
        </w:rPr>
        <w:t>2020</w:t>
      </w:r>
      <w:r w:rsidRPr="00417073">
        <w:rPr>
          <w:rFonts w:hint="eastAsia"/>
          <w:spacing w:val="-4"/>
        </w:rPr>
        <w:t>年</w:t>
      </w:r>
      <w:r w:rsidR="00D501CF" w:rsidRPr="00417073">
        <w:rPr>
          <w:spacing w:val="-4"/>
        </w:rPr>
        <w:t>3</w:t>
      </w:r>
      <w:r w:rsidRPr="00417073">
        <w:rPr>
          <w:rFonts w:hint="eastAsia"/>
          <w:spacing w:val="-4"/>
        </w:rPr>
        <w:t>月</w:t>
      </w:r>
      <w:r w:rsidR="00D501CF" w:rsidRPr="00417073">
        <w:rPr>
          <w:spacing w:val="-4"/>
        </w:rPr>
        <w:t>1</w:t>
      </w:r>
      <w:r w:rsidRPr="00417073">
        <w:rPr>
          <w:rFonts w:hint="eastAsia"/>
          <w:spacing w:val="-4"/>
        </w:rPr>
        <w:t>日</w:t>
      </w:r>
      <w:r w:rsidRPr="00417073">
        <w:rPr>
          <w:spacing w:val="-4"/>
        </w:rPr>
        <w:t>第四次</w:t>
      </w:r>
      <w:r w:rsidRPr="00417073">
        <w:rPr>
          <w:rFonts w:hint="eastAsia"/>
          <w:spacing w:val="-4"/>
        </w:rPr>
        <w:t>修订</w:t>
      </w:r>
      <w:r w:rsidRPr="00417073">
        <w:rPr>
          <w:spacing w:val="-4"/>
        </w:rPr>
        <w:t>）</w:t>
      </w:r>
    </w:p>
    <w:p w:rsidR="00CF722D" w:rsidRDefault="00CF722D" w:rsidP="00F60E04">
      <w:pPr>
        <w:widowControl w:val="0"/>
        <w:snapToGrid w:val="0"/>
        <w:spacing w:line="560" w:lineRule="exact"/>
        <w:ind w:firstLineChars="0" w:firstLine="0"/>
        <w:jc w:val="center"/>
        <w:rPr>
          <w:rFonts w:eastAsia="仿宋_GB2312"/>
        </w:rPr>
      </w:pPr>
    </w:p>
    <w:p w:rsidR="00CF722D" w:rsidRPr="00CF722D" w:rsidRDefault="00CF722D" w:rsidP="00F60E04">
      <w:pPr>
        <w:widowControl w:val="0"/>
        <w:snapToGrid w:val="0"/>
        <w:spacing w:line="560" w:lineRule="exact"/>
        <w:ind w:firstLineChars="0" w:firstLine="0"/>
        <w:jc w:val="center"/>
        <w:rPr>
          <w:b/>
        </w:rPr>
      </w:pPr>
      <w:r w:rsidRPr="00CF722D">
        <w:rPr>
          <w:b/>
        </w:rPr>
        <w:t>第一章</w:t>
      </w:r>
      <w:r w:rsidRPr="00CF722D">
        <w:rPr>
          <w:b/>
        </w:rPr>
        <w:t xml:space="preserve"> </w:t>
      </w:r>
      <w:r w:rsidRPr="00CF722D">
        <w:rPr>
          <w:b/>
        </w:rPr>
        <w:t>总则</w:t>
      </w:r>
    </w:p>
    <w:p w:rsidR="00CF722D" w:rsidRPr="00CF722D" w:rsidRDefault="00CF722D" w:rsidP="00F60E04">
      <w:pPr>
        <w:widowControl w:val="0"/>
        <w:snapToGrid w:val="0"/>
        <w:spacing w:line="560" w:lineRule="exact"/>
        <w:ind w:firstLineChars="0" w:firstLine="0"/>
        <w:jc w:val="center"/>
        <w:rPr>
          <w:b/>
        </w:rPr>
      </w:pPr>
    </w:p>
    <w:p w:rsidR="00CF722D" w:rsidRPr="00CF722D" w:rsidRDefault="00CF722D" w:rsidP="00F60E04">
      <w:pPr>
        <w:widowControl w:val="0"/>
        <w:snapToGrid w:val="0"/>
        <w:spacing w:line="560" w:lineRule="exact"/>
        <w:ind w:firstLine="643"/>
      </w:pPr>
      <w:r w:rsidRPr="00CF722D">
        <w:rPr>
          <w:b/>
        </w:rPr>
        <w:t>第一条</w:t>
      </w:r>
      <w:r w:rsidRPr="00CF722D">
        <w:rPr>
          <w:b/>
        </w:rPr>
        <w:t xml:space="preserve">  </w:t>
      </w:r>
      <w:r w:rsidRPr="00CF722D">
        <w:t>为规范中国金融期货交易所（以下简称交易所）国债期货合约交割行为，根据《中国金融期货交易所交易规则》及相关实施细则，制定本细则。</w:t>
      </w:r>
    </w:p>
    <w:p w:rsidR="00CF722D" w:rsidRPr="00CF722D" w:rsidRDefault="00CF722D" w:rsidP="00F60E04">
      <w:pPr>
        <w:widowControl w:val="0"/>
        <w:snapToGrid w:val="0"/>
        <w:spacing w:line="560" w:lineRule="exact"/>
        <w:ind w:firstLine="643"/>
      </w:pPr>
      <w:r w:rsidRPr="00CF722D">
        <w:rPr>
          <w:b/>
        </w:rPr>
        <w:t>第二条</w:t>
      </w:r>
      <w:r w:rsidRPr="00CF722D">
        <w:rPr>
          <w:b/>
        </w:rPr>
        <w:t xml:space="preserve">  </w:t>
      </w:r>
      <w:r w:rsidRPr="00CF722D">
        <w:t>国债期货合约采用实物交割方式。</w:t>
      </w:r>
    </w:p>
    <w:p w:rsidR="00CF722D" w:rsidRPr="00CF722D" w:rsidRDefault="00CF722D" w:rsidP="00F60E04">
      <w:pPr>
        <w:widowControl w:val="0"/>
        <w:snapToGrid w:val="0"/>
        <w:spacing w:line="560" w:lineRule="exact"/>
        <w:ind w:firstLine="643"/>
      </w:pPr>
      <w:r w:rsidRPr="00CF722D">
        <w:rPr>
          <w:b/>
        </w:rPr>
        <w:t>第三条</w:t>
      </w:r>
      <w:r w:rsidRPr="00CF722D">
        <w:rPr>
          <w:b/>
        </w:rPr>
        <w:t xml:space="preserve">  </w:t>
      </w:r>
      <w:r w:rsidRPr="00CF722D">
        <w:t>交易所、会员、客户及期货市场其他参与者应当遵守本细则。</w:t>
      </w:r>
    </w:p>
    <w:p w:rsidR="00CF722D" w:rsidRPr="00CF722D" w:rsidRDefault="00CF722D" w:rsidP="00F60E04">
      <w:pPr>
        <w:widowControl w:val="0"/>
        <w:snapToGrid w:val="0"/>
        <w:spacing w:line="560" w:lineRule="exact"/>
        <w:ind w:firstLine="643"/>
      </w:pPr>
      <w:r w:rsidRPr="00CF722D">
        <w:rPr>
          <w:b/>
        </w:rPr>
        <w:t>第四条</w:t>
      </w:r>
      <w:r w:rsidRPr="00CF722D">
        <w:rPr>
          <w:b/>
        </w:rPr>
        <w:t xml:space="preserve">  </w:t>
      </w:r>
      <w:r w:rsidRPr="00CF722D">
        <w:t>交割涉及的国债托管业务由国债托管机构依其规则及相关规定办理。</w:t>
      </w:r>
    </w:p>
    <w:p w:rsidR="00CF722D" w:rsidRPr="00CF722D" w:rsidRDefault="00CF722D" w:rsidP="00F60E04">
      <w:pPr>
        <w:widowControl w:val="0"/>
        <w:snapToGrid w:val="0"/>
        <w:spacing w:line="560" w:lineRule="exact"/>
        <w:ind w:firstLine="640"/>
      </w:pPr>
      <w:r w:rsidRPr="00CF722D">
        <w:t>前款所称国债托管机构为中央国债登记结算有限责任公司（以下简称中央结算）和中国证券登记结算有限责任公司（以下简称中国结算）。</w:t>
      </w:r>
    </w:p>
    <w:p w:rsidR="00CF722D" w:rsidRDefault="00CF722D" w:rsidP="00F60E04">
      <w:pPr>
        <w:widowControl w:val="0"/>
        <w:snapToGrid w:val="0"/>
        <w:spacing w:line="560" w:lineRule="exact"/>
        <w:ind w:firstLineChars="0" w:firstLine="0"/>
        <w:rPr>
          <w:b/>
        </w:rPr>
      </w:pPr>
    </w:p>
    <w:p w:rsidR="00CF722D" w:rsidRPr="00CF722D" w:rsidRDefault="00CF722D" w:rsidP="00F60E04">
      <w:pPr>
        <w:widowControl w:val="0"/>
        <w:snapToGrid w:val="0"/>
        <w:spacing w:line="560" w:lineRule="exact"/>
        <w:ind w:firstLineChars="0" w:firstLine="0"/>
        <w:jc w:val="center"/>
        <w:rPr>
          <w:b/>
        </w:rPr>
      </w:pPr>
      <w:r w:rsidRPr="00CF722D">
        <w:rPr>
          <w:b/>
        </w:rPr>
        <w:t>第二章</w:t>
      </w:r>
      <w:r w:rsidRPr="00CF722D">
        <w:rPr>
          <w:b/>
        </w:rPr>
        <w:t xml:space="preserve"> </w:t>
      </w:r>
      <w:r w:rsidRPr="00CF722D">
        <w:rPr>
          <w:b/>
        </w:rPr>
        <w:t>可交割国债</w:t>
      </w:r>
    </w:p>
    <w:p w:rsidR="00CF722D" w:rsidRPr="00CF722D" w:rsidRDefault="00CF722D" w:rsidP="00F60E04">
      <w:pPr>
        <w:widowControl w:val="0"/>
        <w:snapToGrid w:val="0"/>
        <w:spacing w:line="560" w:lineRule="exact"/>
        <w:ind w:firstLineChars="0" w:firstLine="0"/>
        <w:jc w:val="center"/>
        <w:rPr>
          <w:b/>
        </w:rPr>
      </w:pPr>
    </w:p>
    <w:p w:rsidR="00CF722D" w:rsidRPr="00CF722D" w:rsidRDefault="00CF722D" w:rsidP="00F60E04">
      <w:pPr>
        <w:widowControl w:val="0"/>
        <w:snapToGrid w:val="0"/>
        <w:spacing w:line="560" w:lineRule="exact"/>
        <w:ind w:firstLine="643"/>
      </w:pPr>
      <w:r w:rsidRPr="00CF722D">
        <w:rPr>
          <w:b/>
        </w:rPr>
        <w:lastRenderedPageBreak/>
        <w:t>第五条</w:t>
      </w:r>
      <w:r w:rsidRPr="00CF722D">
        <w:rPr>
          <w:b/>
        </w:rPr>
        <w:t xml:space="preserve">  </w:t>
      </w:r>
      <w:r w:rsidRPr="00CF722D">
        <w:t>国债期货合约的可交割国债应当满足以下条件：</w:t>
      </w:r>
    </w:p>
    <w:p w:rsidR="00CF722D" w:rsidRPr="00CF722D" w:rsidRDefault="00CF722D" w:rsidP="00F60E04">
      <w:pPr>
        <w:widowControl w:val="0"/>
        <w:snapToGrid w:val="0"/>
        <w:spacing w:line="560" w:lineRule="exact"/>
        <w:ind w:firstLine="640"/>
      </w:pPr>
      <w:r w:rsidRPr="00CF722D">
        <w:t>（一）中华人民共和国财政部在境内发行的记账式国债；</w:t>
      </w:r>
    </w:p>
    <w:p w:rsidR="00CF722D" w:rsidRPr="00CF722D" w:rsidRDefault="00CF722D" w:rsidP="00F60E04">
      <w:pPr>
        <w:widowControl w:val="0"/>
        <w:snapToGrid w:val="0"/>
        <w:spacing w:line="560" w:lineRule="exact"/>
        <w:ind w:firstLine="640"/>
      </w:pPr>
      <w:r w:rsidRPr="00CF722D">
        <w:t>（二）同时在全国银行间债券市场、上海证券交易所和深圳证券交易所上市交易；</w:t>
      </w:r>
    </w:p>
    <w:p w:rsidR="00CF722D" w:rsidRPr="00CF722D" w:rsidRDefault="00CF722D" w:rsidP="00F60E04">
      <w:pPr>
        <w:widowControl w:val="0"/>
        <w:snapToGrid w:val="0"/>
        <w:spacing w:line="560" w:lineRule="exact"/>
        <w:ind w:firstLine="640"/>
      </w:pPr>
      <w:r w:rsidRPr="00CF722D">
        <w:t>（三）固定利率且定期付息；</w:t>
      </w:r>
    </w:p>
    <w:p w:rsidR="00CF722D" w:rsidRPr="00CF722D" w:rsidRDefault="00CF722D" w:rsidP="00F60E04">
      <w:pPr>
        <w:widowControl w:val="0"/>
        <w:snapToGrid w:val="0"/>
        <w:spacing w:line="560" w:lineRule="exact"/>
        <w:ind w:firstLine="640"/>
      </w:pPr>
      <w:r w:rsidRPr="00CF722D">
        <w:t>（四）合约到期月份首日剩余期限符合合约规定的范围；</w:t>
      </w:r>
    </w:p>
    <w:p w:rsidR="00CF722D" w:rsidRPr="00CF722D" w:rsidRDefault="00CF722D" w:rsidP="00F60E04">
      <w:pPr>
        <w:widowControl w:val="0"/>
        <w:snapToGrid w:val="0"/>
        <w:spacing w:line="560" w:lineRule="exact"/>
        <w:ind w:firstLine="640"/>
      </w:pPr>
      <w:r w:rsidRPr="00CF722D">
        <w:t>（五）符合国债转托管的相关规定；</w:t>
      </w:r>
    </w:p>
    <w:p w:rsidR="00CF722D" w:rsidRPr="00CF722D" w:rsidRDefault="00CF722D" w:rsidP="00F60E04">
      <w:pPr>
        <w:widowControl w:val="0"/>
        <w:snapToGrid w:val="0"/>
        <w:spacing w:line="560" w:lineRule="exact"/>
        <w:ind w:firstLine="640"/>
      </w:pPr>
      <w:r w:rsidRPr="00CF722D">
        <w:t>（六）交易所规定的其他条件。</w:t>
      </w:r>
    </w:p>
    <w:p w:rsidR="00CF722D" w:rsidRPr="00CF722D" w:rsidRDefault="00CF722D" w:rsidP="00F60E04">
      <w:pPr>
        <w:widowControl w:val="0"/>
        <w:snapToGrid w:val="0"/>
        <w:spacing w:line="560" w:lineRule="exact"/>
        <w:ind w:firstLine="643"/>
      </w:pPr>
      <w:r w:rsidRPr="00CF722D">
        <w:rPr>
          <w:b/>
        </w:rPr>
        <w:t>第六条</w:t>
      </w:r>
      <w:r w:rsidRPr="00CF722D">
        <w:rPr>
          <w:b/>
        </w:rPr>
        <w:t xml:space="preserve">  </w:t>
      </w:r>
      <w:r w:rsidRPr="00CF722D">
        <w:t>2</w:t>
      </w:r>
      <w:r w:rsidRPr="00CF722D">
        <w:t>年期国债期货合约的交割单位为面值</w:t>
      </w:r>
      <w:r w:rsidRPr="00CF722D">
        <w:t>200</w:t>
      </w:r>
      <w:r w:rsidRPr="00CF722D">
        <w:t>万元人民币的国债，</w:t>
      </w:r>
      <w:r w:rsidRPr="00CF722D">
        <w:t>5</w:t>
      </w:r>
      <w:r w:rsidRPr="00CF722D">
        <w:t>年期和</w:t>
      </w:r>
      <w:r w:rsidRPr="00CF722D">
        <w:t>10</w:t>
      </w:r>
      <w:r w:rsidRPr="00CF722D">
        <w:t>年期国债期货合约的交割单位为面值</w:t>
      </w:r>
      <w:r w:rsidRPr="00CF722D">
        <w:t>100</w:t>
      </w:r>
      <w:r w:rsidRPr="00CF722D">
        <w:t>万元人民币的国债。每交割单位的国债仅限于同一国债托管机构托管的同一国债。中国结算上海分公司和中国结算深圳分公司托管的国债分别计算。</w:t>
      </w:r>
    </w:p>
    <w:p w:rsidR="00CF722D" w:rsidRPr="00CF722D" w:rsidRDefault="00CF722D" w:rsidP="00F60E04">
      <w:pPr>
        <w:widowControl w:val="0"/>
        <w:snapToGrid w:val="0"/>
        <w:spacing w:line="560" w:lineRule="exact"/>
        <w:ind w:firstLine="643"/>
      </w:pPr>
      <w:r w:rsidRPr="00CF722D">
        <w:rPr>
          <w:b/>
        </w:rPr>
        <w:t>第七条</w:t>
      </w:r>
      <w:r w:rsidRPr="00CF722D">
        <w:rPr>
          <w:b/>
        </w:rPr>
        <w:t xml:space="preserve">  </w:t>
      </w:r>
      <w:r w:rsidRPr="00CF722D">
        <w:t>国债期货合约的可交割国债及其转换因子数值由交易所确定并向市场公布。</w:t>
      </w:r>
    </w:p>
    <w:p w:rsidR="00CF722D" w:rsidRPr="00CF722D" w:rsidRDefault="00CF722D" w:rsidP="00F60E04">
      <w:pPr>
        <w:widowControl w:val="0"/>
        <w:snapToGrid w:val="0"/>
        <w:spacing w:line="560" w:lineRule="exact"/>
        <w:ind w:firstLine="640"/>
      </w:pPr>
    </w:p>
    <w:p w:rsidR="00CF722D" w:rsidRPr="00CF722D" w:rsidRDefault="00CF722D" w:rsidP="00F60E04">
      <w:pPr>
        <w:widowControl w:val="0"/>
        <w:snapToGrid w:val="0"/>
        <w:spacing w:line="560" w:lineRule="exact"/>
        <w:ind w:firstLineChars="0" w:firstLine="0"/>
        <w:jc w:val="center"/>
        <w:rPr>
          <w:b/>
        </w:rPr>
      </w:pPr>
      <w:r w:rsidRPr="00CF722D">
        <w:rPr>
          <w:b/>
        </w:rPr>
        <w:t>第三章</w:t>
      </w:r>
      <w:r w:rsidRPr="00CF722D">
        <w:rPr>
          <w:b/>
        </w:rPr>
        <w:t xml:space="preserve"> </w:t>
      </w:r>
      <w:r w:rsidRPr="00CF722D">
        <w:rPr>
          <w:b/>
        </w:rPr>
        <w:t>国债托管账户审核</w:t>
      </w:r>
    </w:p>
    <w:p w:rsidR="00CF722D" w:rsidRPr="00CF722D" w:rsidRDefault="00CF722D" w:rsidP="00F60E04">
      <w:pPr>
        <w:widowControl w:val="0"/>
        <w:snapToGrid w:val="0"/>
        <w:spacing w:line="560" w:lineRule="exact"/>
        <w:ind w:firstLineChars="0"/>
        <w:jc w:val="center"/>
        <w:rPr>
          <w:b/>
        </w:rPr>
      </w:pPr>
    </w:p>
    <w:p w:rsidR="00CF722D" w:rsidRPr="00CF722D" w:rsidRDefault="00CF722D" w:rsidP="00F60E04">
      <w:pPr>
        <w:widowControl w:val="0"/>
        <w:snapToGrid w:val="0"/>
        <w:spacing w:line="560" w:lineRule="exact"/>
        <w:ind w:firstLine="643"/>
      </w:pPr>
      <w:r w:rsidRPr="00CF722D">
        <w:rPr>
          <w:b/>
        </w:rPr>
        <w:t>第八条</w:t>
      </w:r>
      <w:r w:rsidRPr="00CF722D">
        <w:rPr>
          <w:rFonts w:hint="eastAsia"/>
          <w:b/>
        </w:rPr>
        <w:t xml:space="preserve"> </w:t>
      </w:r>
      <w:r w:rsidRPr="00CF722D">
        <w:rPr>
          <w:b/>
        </w:rPr>
        <w:t xml:space="preserve"> </w:t>
      </w:r>
      <w:r w:rsidRPr="00CF722D">
        <w:rPr>
          <w:rFonts w:hint="eastAsia"/>
        </w:rPr>
        <w:t>参与交割的非期货公司会员应当事先向交易所申报国债托管账户。</w:t>
      </w:r>
      <w:r w:rsidRPr="00CF722D">
        <w:t>参与交割的客户应当事先通过会员向交易所申报国债托管账户。</w:t>
      </w:r>
      <w:r w:rsidRPr="00CF722D">
        <w:rPr>
          <w:rFonts w:hint="eastAsia"/>
        </w:rPr>
        <w:t>会员</w:t>
      </w:r>
      <w:r w:rsidRPr="00CF722D">
        <w:t>、客户应当确保所申报的国债托管账户真实、有效。</w:t>
      </w:r>
    </w:p>
    <w:p w:rsidR="00CF722D" w:rsidRPr="00CF722D" w:rsidRDefault="00CF722D" w:rsidP="00F60E04">
      <w:pPr>
        <w:widowControl w:val="0"/>
        <w:snapToGrid w:val="0"/>
        <w:spacing w:line="560" w:lineRule="exact"/>
        <w:ind w:firstLine="640"/>
      </w:pPr>
      <w:r w:rsidRPr="00CF722D">
        <w:rPr>
          <w:rFonts w:hint="eastAsia"/>
        </w:rPr>
        <w:t>非期货公司会员、客户按照交易编码申报国债托管账户，</w:t>
      </w:r>
      <w:r w:rsidRPr="00CF722D">
        <w:t>申报中央结算开立的国债托管账户的，只能申报一个国债托管账户</w:t>
      </w:r>
      <w:r w:rsidRPr="00CF722D">
        <w:rPr>
          <w:rFonts w:hint="eastAsia"/>
        </w:rPr>
        <w:t>；</w:t>
      </w:r>
      <w:r w:rsidRPr="00CF722D">
        <w:t>申报中国结算开立的国债托管账户的，应当同时申报在中国结算上海分公司和中国结算深圳分公司开立的国债托管账户，且只能分别申报一个国债托管账户。</w:t>
      </w:r>
    </w:p>
    <w:p w:rsidR="00CF722D" w:rsidRPr="00CF722D" w:rsidRDefault="00CF722D" w:rsidP="00F60E04">
      <w:pPr>
        <w:widowControl w:val="0"/>
        <w:snapToGrid w:val="0"/>
        <w:spacing w:line="560" w:lineRule="exact"/>
        <w:ind w:firstLine="643"/>
      </w:pPr>
      <w:r w:rsidRPr="00CF722D">
        <w:rPr>
          <w:b/>
        </w:rPr>
        <w:t>第九条</w:t>
      </w:r>
      <w:r w:rsidRPr="00CF722D">
        <w:rPr>
          <w:b/>
        </w:rPr>
        <w:t xml:space="preserve">  </w:t>
      </w:r>
      <w:r w:rsidRPr="00CF722D">
        <w:t>会员申报国债托管账户，应当向交易所提交下列材料：</w:t>
      </w:r>
    </w:p>
    <w:p w:rsidR="00CF722D" w:rsidRPr="00CF722D" w:rsidRDefault="00CF722D" w:rsidP="00F60E04">
      <w:pPr>
        <w:widowControl w:val="0"/>
        <w:snapToGrid w:val="0"/>
        <w:spacing w:line="560" w:lineRule="exact"/>
        <w:ind w:firstLine="640"/>
      </w:pPr>
      <w:r w:rsidRPr="00CF722D">
        <w:t>（一）国债托管账户申报表；</w:t>
      </w:r>
    </w:p>
    <w:p w:rsidR="00CF722D" w:rsidRPr="00CF722D" w:rsidRDefault="00CF722D" w:rsidP="00F60E04">
      <w:pPr>
        <w:widowControl w:val="0"/>
        <w:snapToGrid w:val="0"/>
        <w:spacing w:line="560" w:lineRule="exact"/>
        <w:ind w:firstLine="640"/>
      </w:pPr>
      <w:r w:rsidRPr="00CF722D">
        <w:t>（二）国债托管账户证明材料；</w:t>
      </w:r>
    </w:p>
    <w:p w:rsidR="00CF722D" w:rsidRPr="00CF722D" w:rsidRDefault="00CF722D" w:rsidP="00F60E04">
      <w:pPr>
        <w:widowControl w:val="0"/>
        <w:snapToGrid w:val="0"/>
        <w:spacing w:line="560" w:lineRule="exact"/>
        <w:ind w:firstLine="640"/>
      </w:pPr>
      <w:r w:rsidRPr="00CF722D">
        <w:t>（三）有效身份证明材料；</w:t>
      </w:r>
    </w:p>
    <w:p w:rsidR="00CF722D" w:rsidRPr="00CF722D" w:rsidRDefault="00CF722D" w:rsidP="00F60E04">
      <w:pPr>
        <w:widowControl w:val="0"/>
        <w:snapToGrid w:val="0"/>
        <w:spacing w:line="560" w:lineRule="exact"/>
        <w:ind w:firstLine="640"/>
      </w:pPr>
      <w:r w:rsidRPr="00CF722D">
        <w:t>（四）交易所要求的其他材料。</w:t>
      </w:r>
    </w:p>
    <w:p w:rsidR="00CF722D" w:rsidRPr="00CF722D" w:rsidRDefault="00CF722D" w:rsidP="00F60E04">
      <w:pPr>
        <w:widowControl w:val="0"/>
        <w:snapToGrid w:val="0"/>
        <w:spacing w:line="560" w:lineRule="exact"/>
        <w:ind w:firstLine="640"/>
      </w:pPr>
      <w:r w:rsidRPr="00CF722D">
        <w:t>会员应当确保材料内容的真实、准确和完整。</w:t>
      </w:r>
    </w:p>
    <w:p w:rsidR="00CF722D" w:rsidRPr="00CF722D" w:rsidRDefault="00CF722D" w:rsidP="00F60E04">
      <w:pPr>
        <w:widowControl w:val="0"/>
        <w:snapToGrid w:val="0"/>
        <w:spacing w:line="560" w:lineRule="exact"/>
        <w:ind w:firstLine="643"/>
      </w:pPr>
      <w:r w:rsidRPr="00CF722D">
        <w:rPr>
          <w:b/>
        </w:rPr>
        <w:t>第十条</w:t>
      </w:r>
      <w:r w:rsidRPr="00CF722D">
        <w:rPr>
          <w:b/>
        </w:rPr>
        <w:t xml:space="preserve">  </w:t>
      </w:r>
      <w:r w:rsidRPr="00CF722D">
        <w:t>会员可以在交易日</w:t>
      </w:r>
      <w:r w:rsidRPr="00CF722D">
        <w:t>9:15-14:00</w:t>
      </w:r>
      <w:r w:rsidRPr="00CF722D">
        <w:t>向交易所申报国债托管账户，交易所在正式受理申报后</w:t>
      </w:r>
      <w:r w:rsidRPr="00CF722D">
        <w:rPr>
          <w:rFonts w:hint="eastAsia"/>
        </w:rPr>
        <w:t>三</w:t>
      </w:r>
      <w:r w:rsidRPr="00CF722D">
        <w:t>个交易日内进行审核并予以答复。交易所在审核过程中可以要求会员对申报材料进行补充说明，补充材料时间不计入审核时间。</w:t>
      </w:r>
    </w:p>
    <w:p w:rsidR="00CF722D" w:rsidRPr="00CF722D" w:rsidRDefault="00CF722D" w:rsidP="00F60E04">
      <w:pPr>
        <w:widowControl w:val="0"/>
        <w:snapToGrid w:val="0"/>
        <w:spacing w:line="560" w:lineRule="exact"/>
        <w:ind w:firstLine="643"/>
      </w:pPr>
      <w:r w:rsidRPr="00CF722D">
        <w:rPr>
          <w:b/>
        </w:rPr>
        <w:t>第十一条</w:t>
      </w:r>
      <w:r w:rsidRPr="00CF722D">
        <w:rPr>
          <w:b/>
        </w:rPr>
        <w:t xml:space="preserve">  </w:t>
      </w:r>
      <w:r w:rsidRPr="00CF722D">
        <w:t>在国债期货合约交割月份之前的二个交易日尚未通过国债托管账户审核的</w:t>
      </w:r>
      <w:r w:rsidRPr="00CF722D">
        <w:rPr>
          <w:rFonts w:hint="eastAsia"/>
        </w:rPr>
        <w:t>非期货公司会员</w:t>
      </w:r>
      <w:r w:rsidRPr="00CF722D">
        <w:t>、客户，自交割月份之前的一个交易日至最后交易日，其在该国债期货交割月份合约的持仓应当为</w:t>
      </w:r>
      <w:r w:rsidRPr="00CF722D">
        <w:t>0</w:t>
      </w:r>
      <w:r w:rsidRPr="00CF722D">
        <w:t>手。</w:t>
      </w:r>
    </w:p>
    <w:p w:rsidR="00CF722D" w:rsidRPr="00CF722D" w:rsidRDefault="00CF722D" w:rsidP="00F60E04">
      <w:pPr>
        <w:widowControl w:val="0"/>
        <w:snapToGrid w:val="0"/>
        <w:spacing w:line="560" w:lineRule="exact"/>
        <w:ind w:firstLine="640"/>
      </w:pPr>
      <w:r w:rsidRPr="00CF722D">
        <w:t>自交割月份之前的一个交易日起，交易所按照《中国金融期货交易所风险控制管理办法》的相关规定，对未通过国债托管账户审核</w:t>
      </w:r>
      <w:r w:rsidRPr="00CF722D">
        <w:rPr>
          <w:rFonts w:hint="eastAsia"/>
        </w:rPr>
        <w:t>的</w:t>
      </w:r>
      <w:r w:rsidRPr="00CF722D">
        <w:t>非期货公司会员、客户的交割月份合约持仓予以强行平仓。</w:t>
      </w:r>
    </w:p>
    <w:p w:rsidR="00CF722D" w:rsidRPr="00CF722D" w:rsidRDefault="00CF722D" w:rsidP="00F60E04">
      <w:pPr>
        <w:widowControl w:val="0"/>
        <w:snapToGrid w:val="0"/>
        <w:spacing w:line="560" w:lineRule="exact"/>
        <w:ind w:firstLine="643"/>
        <w:rPr>
          <w:b/>
        </w:rPr>
      </w:pPr>
      <w:r w:rsidRPr="00CF722D">
        <w:rPr>
          <w:b/>
        </w:rPr>
        <w:t>第十二条</w:t>
      </w:r>
      <w:r w:rsidRPr="00CF722D">
        <w:rPr>
          <w:b/>
        </w:rPr>
        <w:t xml:space="preserve">  </w:t>
      </w:r>
      <w:r w:rsidRPr="00CF722D">
        <w:t>国债托管账户信息发生变更的，</w:t>
      </w:r>
      <w:r w:rsidRPr="00CF722D">
        <w:rPr>
          <w:rFonts w:hint="eastAsia"/>
        </w:rPr>
        <w:t>非期货公司会员</w:t>
      </w:r>
      <w:r w:rsidRPr="00CF722D">
        <w:t>应当及时向</w:t>
      </w:r>
      <w:r w:rsidRPr="00CF722D">
        <w:rPr>
          <w:rFonts w:hint="eastAsia"/>
        </w:rPr>
        <w:t>交易所</w:t>
      </w:r>
      <w:r w:rsidRPr="00CF722D">
        <w:t>申报，客户应当及时通过会员向交易所申报。</w:t>
      </w:r>
    </w:p>
    <w:p w:rsidR="00CF722D" w:rsidRDefault="00CF722D" w:rsidP="00F60E04">
      <w:pPr>
        <w:widowControl w:val="0"/>
        <w:snapToGrid w:val="0"/>
        <w:spacing w:line="560" w:lineRule="exact"/>
        <w:ind w:firstLineChars="0" w:firstLine="0"/>
        <w:rPr>
          <w:b/>
        </w:rPr>
      </w:pPr>
    </w:p>
    <w:p w:rsidR="00CF722D" w:rsidRPr="00CF722D" w:rsidRDefault="00CF722D" w:rsidP="00F60E04">
      <w:pPr>
        <w:widowControl w:val="0"/>
        <w:snapToGrid w:val="0"/>
        <w:spacing w:line="560" w:lineRule="exact"/>
        <w:ind w:firstLineChars="0" w:firstLine="0"/>
        <w:jc w:val="center"/>
        <w:rPr>
          <w:b/>
        </w:rPr>
      </w:pPr>
      <w:r w:rsidRPr="00CF722D">
        <w:rPr>
          <w:b/>
        </w:rPr>
        <w:t>第四章</w:t>
      </w:r>
      <w:r w:rsidRPr="00CF722D">
        <w:rPr>
          <w:b/>
        </w:rPr>
        <w:t xml:space="preserve"> </w:t>
      </w:r>
      <w:r w:rsidRPr="00CF722D">
        <w:rPr>
          <w:b/>
        </w:rPr>
        <w:t>交割流程</w:t>
      </w:r>
    </w:p>
    <w:p w:rsidR="00CF722D" w:rsidRPr="00CF722D" w:rsidRDefault="00CF722D" w:rsidP="00F60E04">
      <w:pPr>
        <w:widowControl w:val="0"/>
        <w:snapToGrid w:val="0"/>
        <w:spacing w:line="560" w:lineRule="exact"/>
        <w:ind w:firstLineChars="0" w:firstLine="0"/>
        <w:jc w:val="center"/>
        <w:rPr>
          <w:b/>
        </w:rPr>
      </w:pPr>
    </w:p>
    <w:p w:rsidR="00CF722D" w:rsidRPr="00CF722D" w:rsidRDefault="00CF722D" w:rsidP="00F60E04">
      <w:pPr>
        <w:widowControl w:val="0"/>
        <w:snapToGrid w:val="0"/>
        <w:spacing w:line="560" w:lineRule="exact"/>
        <w:ind w:firstLine="643"/>
      </w:pPr>
      <w:r w:rsidRPr="00CF722D">
        <w:rPr>
          <w:b/>
        </w:rPr>
        <w:t>第十三条</w:t>
      </w:r>
      <w:r w:rsidRPr="00CF722D">
        <w:rPr>
          <w:b/>
        </w:rPr>
        <w:t xml:space="preserve">  </w:t>
      </w:r>
      <w:r w:rsidRPr="00CF722D">
        <w:t>合约进入交割月份后至最后交易日之前，由卖方主动提出交割申报，并由交易所组织匹配双方在规定的时间内完成交割。合约最后交易日收市后的未平仓部分按照交易所的规定进入交割。</w:t>
      </w:r>
    </w:p>
    <w:p w:rsidR="00CF722D" w:rsidRPr="00CF722D" w:rsidRDefault="00CF722D" w:rsidP="00F60E04">
      <w:pPr>
        <w:widowControl w:val="0"/>
        <w:snapToGrid w:val="0"/>
        <w:spacing w:line="560" w:lineRule="exact"/>
        <w:ind w:firstLine="640"/>
      </w:pPr>
      <w:r w:rsidRPr="00CF722D">
        <w:rPr>
          <w:rFonts w:hint="eastAsia"/>
        </w:rPr>
        <w:t>非期货公司会员</w:t>
      </w:r>
      <w:r w:rsidRPr="00CF722D">
        <w:t>、客户参与交割视为授权交易所委托相关国债托管机构对其申报账户内的对应国债进行划转处理。</w:t>
      </w:r>
    </w:p>
    <w:p w:rsidR="00CF722D" w:rsidRPr="00CF722D" w:rsidRDefault="00CF722D" w:rsidP="00F60E04">
      <w:pPr>
        <w:widowControl w:val="0"/>
        <w:snapToGrid w:val="0"/>
        <w:spacing w:line="560" w:lineRule="exact"/>
        <w:ind w:firstLine="643"/>
      </w:pPr>
      <w:r w:rsidRPr="00CF722D">
        <w:rPr>
          <w:b/>
        </w:rPr>
        <w:t>第十四条</w:t>
      </w:r>
      <w:r w:rsidRPr="00CF722D">
        <w:rPr>
          <w:b/>
        </w:rPr>
        <w:t xml:space="preserve">  </w:t>
      </w:r>
      <w:r w:rsidRPr="00CF722D">
        <w:t>自交割月份之前的二个交易日起至最后交易日之前一个交易日，每日收市后，同一交易编码的交割月份合约双向持仓对冲平仓，平仓价格为该合约前一交易日的结算价。对冲平仓结果不计入当日结算价的计算。</w:t>
      </w:r>
    </w:p>
    <w:p w:rsidR="00CF722D" w:rsidRPr="00CF722D" w:rsidRDefault="00CF722D" w:rsidP="00F60E04">
      <w:pPr>
        <w:widowControl w:val="0"/>
        <w:snapToGrid w:val="0"/>
        <w:spacing w:line="560" w:lineRule="exact"/>
        <w:ind w:firstLine="643"/>
      </w:pPr>
      <w:r w:rsidRPr="00CF722D">
        <w:rPr>
          <w:b/>
        </w:rPr>
        <w:t>第十五条</w:t>
      </w:r>
      <w:r w:rsidRPr="00CF722D">
        <w:rPr>
          <w:b/>
        </w:rPr>
        <w:t xml:space="preserve">  </w:t>
      </w:r>
      <w:r w:rsidRPr="00CF722D">
        <w:t>最后交易日之前申请交割的，当日结算时，交易所按照</w:t>
      </w:r>
      <w:r w:rsidRPr="00CF722D">
        <w:rPr>
          <w:rFonts w:hint="eastAsia"/>
        </w:rPr>
        <w:t>同一交易编码</w:t>
      </w:r>
      <w:r w:rsidRPr="00CF722D">
        <w:t>的申报交割数量和持仓量的</w:t>
      </w:r>
      <w:proofErr w:type="gramStart"/>
      <w:r w:rsidRPr="00CF722D">
        <w:t>较小值</w:t>
      </w:r>
      <w:proofErr w:type="gramEnd"/>
      <w:r w:rsidRPr="00CF722D">
        <w:t>确定有效申报交割数量。所有卖方有效申报交割数量进入交割。</w:t>
      </w:r>
    </w:p>
    <w:p w:rsidR="00CF722D" w:rsidRPr="00CF722D" w:rsidRDefault="00CF722D" w:rsidP="00F60E04">
      <w:pPr>
        <w:widowControl w:val="0"/>
        <w:snapToGrid w:val="0"/>
        <w:spacing w:line="560" w:lineRule="exact"/>
        <w:ind w:firstLine="640"/>
      </w:pPr>
      <w:r w:rsidRPr="00CF722D">
        <w:t>交易所按照</w:t>
      </w:r>
      <w:r w:rsidR="00115333">
        <w:rPr>
          <w:rFonts w:hint="eastAsia"/>
        </w:rPr>
        <w:t>“</w:t>
      </w:r>
      <w:r w:rsidR="00115333" w:rsidRPr="00CF722D">
        <w:t>申报意向优先，持仓日最久优先，相同持仓日按比例分配</w:t>
      </w:r>
      <w:r w:rsidR="00115333">
        <w:rPr>
          <w:rFonts w:hint="eastAsia"/>
        </w:rPr>
        <w:t>”</w:t>
      </w:r>
      <w:r w:rsidRPr="00CF722D">
        <w:t>的原则确定进入交割的买方持仓。买方有效申报交割数量大于卖方有效申报交割数量的，按照买方会员意向申报时间优先的原则确定进入交割的买方持仓，未进入交割的意向申报失效。</w:t>
      </w:r>
    </w:p>
    <w:p w:rsidR="00CF722D" w:rsidRPr="00CF722D" w:rsidRDefault="00CF722D" w:rsidP="00F60E04">
      <w:pPr>
        <w:widowControl w:val="0"/>
        <w:snapToGrid w:val="0"/>
        <w:spacing w:line="560" w:lineRule="exact"/>
        <w:ind w:firstLine="640"/>
      </w:pPr>
      <w:r w:rsidRPr="00CF722D">
        <w:t>所有进入交割的买方和卖方持仓从交割月份合约持仓中扣除。</w:t>
      </w:r>
    </w:p>
    <w:p w:rsidR="00CF722D" w:rsidRPr="00CF722D" w:rsidRDefault="00CF722D" w:rsidP="00F60E04">
      <w:pPr>
        <w:widowControl w:val="0"/>
        <w:snapToGrid w:val="0"/>
        <w:spacing w:line="560" w:lineRule="exact"/>
        <w:ind w:firstLine="643"/>
      </w:pPr>
      <w:r w:rsidRPr="00CF722D">
        <w:rPr>
          <w:b/>
        </w:rPr>
        <w:t>第十六条</w:t>
      </w:r>
      <w:r w:rsidRPr="00CF722D">
        <w:rPr>
          <w:b/>
        </w:rPr>
        <w:t xml:space="preserve">  </w:t>
      </w:r>
      <w:r w:rsidRPr="00CF722D">
        <w:t>最后交易日之前申请交割的，</w:t>
      </w:r>
      <w:r w:rsidRPr="00CF722D">
        <w:rPr>
          <w:rFonts w:hint="eastAsia"/>
        </w:rPr>
        <w:t>非期货公司会员</w:t>
      </w:r>
      <w:r w:rsidRPr="00CF722D">
        <w:t>应当向交易所申报交割意向，客户</w:t>
      </w:r>
      <w:r w:rsidRPr="00CF722D">
        <w:rPr>
          <w:rFonts w:hint="eastAsia"/>
        </w:rPr>
        <w:t>应当</w:t>
      </w:r>
      <w:r w:rsidRPr="00CF722D">
        <w:t>通过会员</w:t>
      </w:r>
      <w:r w:rsidRPr="00CF722D">
        <w:rPr>
          <w:rFonts w:hint="eastAsia"/>
        </w:rPr>
        <w:t>向交易所</w:t>
      </w:r>
      <w:r w:rsidRPr="00CF722D">
        <w:t>申报交割意向。结算会员可以授权交易会员向交易所申报交割意向。</w:t>
      </w:r>
    </w:p>
    <w:p w:rsidR="00CF722D" w:rsidRPr="00CF722D" w:rsidRDefault="00CF722D" w:rsidP="00F60E04">
      <w:pPr>
        <w:widowControl w:val="0"/>
        <w:snapToGrid w:val="0"/>
        <w:spacing w:line="560" w:lineRule="exact"/>
        <w:ind w:firstLine="640"/>
      </w:pPr>
      <w:r w:rsidRPr="00CF722D">
        <w:rPr>
          <w:rFonts w:hint="eastAsia"/>
        </w:rPr>
        <w:t>交割意向应当在当日</w:t>
      </w:r>
      <w:r w:rsidRPr="00CF722D">
        <w:rPr>
          <w:rFonts w:hint="eastAsia"/>
        </w:rPr>
        <w:t>15:15</w:t>
      </w:r>
      <w:r w:rsidRPr="00CF722D">
        <w:rPr>
          <w:rFonts w:hint="eastAsia"/>
        </w:rPr>
        <w:t>前申报至交易所。</w:t>
      </w:r>
    </w:p>
    <w:p w:rsidR="00CF722D" w:rsidRPr="00CF722D" w:rsidRDefault="00CF722D" w:rsidP="00F60E04">
      <w:pPr>
        <w:widowControl w:val="0"/>
        <w:snapToGrid w:val="0"/>
        <w:spacing w:line="560" w:lineRule="exact"/>
        <w:ind w:firstLine="640"/>
      </w:pPr>
      <w:r w:rsidRPr="00CF722D">
        <w:t>卖方申报意向内容应当包括可交割国债名称、数量以及</w:t>
      </w:r>
      <w:proofErr w:type="gramStart"/>
      <w:r w:rsidRPr="00CF722D">
        <w:t>交券</w:t>
      </w:r>
      <w:proofErr w:type="gramEnd"/>
      <w:r w:rsidRPr="00CF722D">
        <w:t>的国债托管账户等信息。</w:t>
      </w:r>
    </w:p>
    <w:p w:rsidR="00CF722D" w:rsidRPr="00CF722D" w:rsidRDefault="00CF722D" w:rsidP="00F60E04">
      <w:pPr>
        <w:widowControl w:val="0"/>
        <w:snapToGrid w:val="0"/>
        <w:spacing w:line="560" w:lineRule="exact"/>
        <w:ind w:firstLine="640"/>
      </w:pPr>
      <w:r w:rsidRPr="00CF722D">
        <w:t>买方申报意向内容应当包括交割数量和收券的国债托管账户等信息。买方以在中国结算开立的账户收券的，应当同时提供在中国结算上海分公司和中国结算深圳分公司开立的账户。</w:t>
      </w:r>
    </w:p>
    <w:p w:rsidR="00CF722D" w:rsidRPr="00CF722D" w:rsidRDefault="00CF722D" w:rsidP="00F60E04">
      <w:pPr>
        <w:widowControl w:val="0"/>
        <w:snapToGrid w:val="0"/>
        <w:spacing w:line="560" w:lineRule="exact"/>
        <w:ind w:firstLine="640"/>
      </w:pPr>
      <w:r w:rsidRPr="00CF722D">
        <w:t>会员应当确保申请交割的客户具备交割履约能力。</w:t>
      </w:r>
    </w:p>
    <w:p w:rsidR="00CF722D" w:rsidRPr="00CF722D" w:rsidRDefault="00CF722D" w:rsidP="00F60E04">
      <w:pPr>
        <w:widowControl w:val="0"/>
        <w:snapToGrid w:val="0"/>
        <w:spacing w:line="560" w:lineRule="exact"/>
        <w:ind w:firstLine="643"/>
      </w:pPr>
      <w:r w:rsidRPr="00CF722D">
        <w:rPr>
          <w:b/>
        </w:rPr>
        <w:t>第十七条</w:t>
      </w:r>
      <w:r w:rsidRPr="00CF722D">
        <w:rPr>
          <w:b/>
        </w:rPr>
        <w:t xml:space="preserve">  </w:t>
      </w:r>
      <w:r w:rsidRPr="00CF722D">
        <w:t>最后交易日之前未进行交割申报但被交易所确定进入交割的买方持仓，交易所根据卖方</w:t>
      </w:r>
      <w:proofErr w:type="gramStart"/>
      <w:r w:rsidRPr="00CF722D">
        <w:t>交券</w:t>
      </w:r>
      <w:proofErr w:type="gramEnd"/>
      <w:r w:rsidRPr="00CF722D">
        <w:t>的国债托管账户，按照同国债托管机构优先原则在该买方事先申报的国债托管账户中指定收券账户。</w:t>
      </w:r>
    </w:p>
    <w:p w:rsidR="00CF722D" w:rsidRPr="00CF722D" w:rsidRDefault="00CF722D" w:rsidP="00F60E04">
      <w:pPr>
        <w:widowControl w:val="0"/>
        <w:snapToGrid w:val="0"/>
        <w:spacing w:line="560" w:lineRule="exact"/>
        <w:ind w:firstLine="643"/>
      </w:pPr>
      <w:r w:rsidRPr="00CF722D">
        <w:rPr>
          <w:b/>
        </w:rPr>
        <w:t>第十八条</w:t>
      </w:r>
      <w:r w:rsidRPr="00CF722D">
        <w:rPr>
          <w:b/>
        </w:rPr>
        <w:t xml:space="preserve">  </w:t>
      </w:r>
      <w:r w:rsidRPr="00CF722D">
        <w:t>最后交易日收市后，同一客户号的双向持仓对冲平仓，平仓价格为该合约前一交易日的结算价，同一客户号的净持仓进入交割。对冲平仓结果不计入交割结算价的计算。</w:t>
      </w:r>
    </w:p>
    <w:p w:rsidR="00CF722D" w:rsidRPr="00CF722D" w:rsidRDefault="00CF722D" w:rsidP="00F60E04">
      <w:pPr>
        <w:widowControl w:val="0"/>
        <w:snapToGrid w:val="0"/>
        <w:spacing w:line="560" w:lineRule="exact"/>
        <w:ind w:firstLine="643"/>
      </w:pPr>
      <w:r w:rsidRPr="00CF722D">
        <w:rPr>
          <w:b/>
        </w:rPr>
        <w:t>第十九条</w:t>
      </w:r>
      <w:r w:rsidRPr="00CF722D">
        <w:rPr>
          <w:b/>
        </w:rPr>
        <w:t xml:space="preserve">  </w:t>
      </w:r>
      <w:r w:rsidRPr="00CF722D">
        <w:t>最后交易</w:t>
      </w:r>
      <w:proofErr w:type="gramStart"/>
      <w:r w:rsidRPr="00CF722D">
        <w:t>日进入</w:t>
      </w:r>
      <w:proofErr w:type="gramEnd"/>
      <w:r w:rsidRPr="00CF722D">
        <w:t>交割的，会员应当在最后交易日</w:t>
      </w:r>
      <w:r w:rsidRPr="00CF722D">
        <w:t>15:15</w:t>
      </w:r>
      <w:r w:rsidRPr="00CF722D">
        <w:t>前向交易所申报买方收券的国债托管账户和卖方的可交割国债名称、数量以及</w:t>
      </w:r>
      <w:proofErr w:type="gramStart"/>
      <w:r w:rsidRPr="00CF722D">
        <w:t>交券</w:t>
      </w:r>
      <w:proofErr w:type="gramEnd"/>
      <w:r w:rsidRPr="00CF722D">
        <w:t>的国债托管账户等信息。买方以在中国结算开立的账户收券的，应当同时提供在中国结算上海分公司和中国结算深圳分公司开立的账户。</w:t>
      </w:r>
    </w:p>
    <w:p w:rsidR="00CF722D" w:rsidRPr="00CF722D" w:rsidRDefault="00CF722D" w:rsidP="00F60E04">
      <w:pPr>
        <w:widowControl w:val="0"/>
        <w:snapToGrid w:val="0"/>
        <w:spacing w:line="560" w:lineRule="exact"/>
        <w:ind w:firstLine="640"/>
      </w:pPr>
      <w:r w:rsidRPr="00CF722D">
        <w:t>最后交易</w:t>
      </w:r>
      <w:proofErr w:type="gramStart"/>
      <w:r w:rsidRPr="00CF722D">
        <w:t>日进入</w:t>
      </w:r>
      <w:proofErr w:type="gramEnd"/>
      <w:r w:rsidRPr="00CF722D">
        <w:t>交割的，会员未在规定时间内</w:t>
      </w:r>
      <w:r w:rsidRPr="00CF722D">
        <w:rPr>
          <w:rFonts w:hint="eastAsia"/>
        </w:rPr>
        <w:t>申报</w:t>
      </w:r>
      <w:r w:rsidRPr="00CF722D">
        <w:t>买方交割信息的，交易所根据卖方</w:t>
      </w:r>
      <w:proofErr w:type="gramStart"/>
      <w:r w:rsidRPr="00CF722D">
        <w:t>交券</w:t>
      </w:r>
      <w:proofErr w:type="gramEnd"/>
      <w:r w:rsidRPr="00CF722D">
        <w:t>的国债托管账户，按照同国债托管机构优先原则在该买方事先申报的国债托管账户中指定收券账户。会员未在规定时间内申报</w:t>
      </w:r>
      <w:r w:rsidRPr="00CF722D">
        <w:rPr>
          <w:rFonts w:hint="eastAsia"/>
        </w:rPr>
        <w:t>卖方</w:t>
      </w:r>
      <w:r w:rsidRPr="00CF722D">
        <w:t>交割信息的，视为卖方未能在规定期限内如数交付可交割国债。</w:t>
      </w:r>
    </w:p>
    <w:p w:rsidR="00CF722D" w:rsidRPr="00CF722D" w:rsidRDefault="00CF722D" w:rsidP="00F60E04">
      <w:pPr>
        <w:widowControl w:val="0"/>
        <w:snapToGrid w:val="0"/>
        <w:spacing w:line="560" w:lineRule="exact"/>
        <w:ind w:firstLine="643"/>
      </w:pPr>
      <w:r w:rsidRPr="00CF722D">
        <w:rPr>
          <w:b/>
        </w:rPr>
        <w:t>第二十条</w:t>
      </w:r>
      <w:r w:rsidRPr="00CF722D">
        <w:t xml:space="preserve">  </w:t>
      </w:r>
      <w:r w:rsidRPr="00CF722D">
        <w:rPr>
          <w:rFonts w:hint="eastAsia"/>
        </w:rPr>
        <w:t>买方</w:t>
      </w:r>
      <w:r w:rsidRPr="00CF722D">
        <w:t>、卖方持仓进入交割的当日，交易所在结算时根据同国债托管机构优先原则，采用最小配对数方法进行交割配对，并将配对结果和应当缴纳的交割货款通知相关会员。</w:t>
      </w:r>
    </w:p>
    <w:p w:rsidR="00CF722D" w:rsidRPr="00CF722D" w:rsidRDefault="00CF722D" w:rsidP="00F60E04">
      <w:pPr>
        <w:widowControl w:val="0"/>
        <w:snapToGrid w:val="0"/>
        <w:spacing w:line="560" w:lineRule="exact"/>
        <w:ind w:firstLine="643"/>
      </w:pPr>
      <w:r w:rsidRPr="00CF722D">
        <w:rPr>
          <w:b/>
        </w:rPr>
        <w:t>第二十一条</w:t>
      </w:r>
      <w:r w:rsidRPr="00CF722D">
        <w:t xml:space="preserve">  </w:t>
      </w:r>
      <w:r w:rsidRPr="00CF722D">
        <w:t>交割模式分为一般模式和券款对付模式。</w:t>
      </w:r>
    </w:p>
    <w:p w:rsidR="00CF722D" w:rsidRPr="00CF722D" w:rsidRDefault="00CF722D" w:rsidP="00F60E04">
      <w:pPr>
        <w:widowControl w:val="0"/>
        <w:snapToGrid w:val="0"/>
        <w:spacing w:line="560" w:lineRule="exact"/>
        <w:ind w:firstLine="640"/>
      </w:pPr>
      <w:r w:rsidRPr="00CF722D">
        <w:t>进行券款对付模式交割的，应当满足以下条件：</w:t>
      </w:r>
    </w:p>
    <w:p w:rsidR="00CF722D" w:rsidRPr="00CF722D" w:rsidRDefault="00CF722D" w:rsidP="00F60E04">
      <w:pPr>
        <w:widowControl w:val="0"/>
        <w:snapToGrid w:val="0"/>
        <w:spacing w:line="560" w:lineRule="exact"/>
        <w:ind w:firstLine="640"/>
      </w:pPr>
      <w:r w:rsidRPr="00CF722D">
        <w:t>（一）配对双方均以中央结算开立的国债托管账户参与交割；</w:t>
      </w:r>
    </w:p>
    <w:p w:rsidR="00CF722D" w:rsidRPr="00CF722D" w:rsidRDefault="00CF722D" w:rsidP="00F60E04">
      <w:pPr>
        <w:widowControl w:val="0"/>
        <w:snapToGrid w:val="0"/>
        <w:spacing w:line="560" w:lineRule="exact"/>
        <w:ind w:firstLine="640"/>
      </w:pPr>
      <w:r w:rsidRPr="00CF722D">
        <w:t>（二）配对双方参与交割的国债托管账户不为同一账户；</w:t>
      </w:r>
    </w:p>
    <w:p w:rsidR="00CF722D" w:rsidRPr="00CF722D" w:rsidRDefault="00CF722D" w:rsidP="00F60E04">
      <w:pPr>
        <w:widowControl w:val="0"/>
        <w:snapToGrid w:val="0"/>
        <w:spacing w:line="560" w:lineRule="exact"/>
        <w:ind w:firstLine="640"/>
      </w:pPr>
      <w:r w:rsidRPr="00CF722D">
        <w:t>（三）交易所规定的其他条件。</w:t>
      </w:r>
    </w:p>
    <w:p w:rsidR="00CF722D" w:rsidRPr="00CF722D" w:rsidRDefault="00CF722D" w:rsidP="00F60E04">
      <w:pPr>
        <w:widowControl w:val="0"/>
        <w:snapToGrid w:val="0"/>
        <w:spacing w:line="560" w:lineRule="exact"/>
        <w:ind w:firstLine="643"/>
      </w:pPr>
      <w:r w:rsidRPr="00CF722D">
        <w:rPr>
          <w:b/>
        </w:rPr>
        <w:t>第二十二条</w:t>
      </w:r>
      <w:r w:rsidRPr="00CF722D">
        <w:rPr>
          <w:b/>
        </w:rPr>
        <w:t xml:space="preserve">  </w:t>
      </w:r>
      <w:r w:rsidRPr="00CF722D">
        <w:t>交割在配对后的连续三个交易日内完成，依次为第一、第二、第三交割日。</w:t>
      </w:r>
    </w:p>
    <w:p w:rsidR="00CF722D" w:rsidRPr="00CF722D" w:rsidRDefault="00CF722D" w:rsidP="00F60E04">
      <w:pPr>
        <w:widowControl w:val="0"/>
        <w:snapToGrid w:val="0"/>
        <w:spacing w:line="560" w:lineRule="exact"/>
        <w:ind w:firstLine="640"/>
      </w:pPr>
      <w:r w:rsidRPr="00CF722D">
        <w:t>（一）第一交割日</w:t>
      </w:r>
    </w:p>
    <w:p w:rsidR="00CF722D" w:rsidRPr="00CF722D" w:rsidRDefault="00CF722D" w:rsidP="00F60E04">
      <w:pPr>
        <w:widowControl w:val="0"/>
        <w:snapToGrid w:val="0"/>
        <w:spacing w:line="560" w:lineRule="exact"/>
        <w:ind w:firstLine="640"/>
      </w:pPr>
      <w:r w:rsidRPr="00CF722D">
        <w:t>以一般模式进行交割的，当日为</w:t>
      </w:r>
      <w:proofErr w:type="gramStart"/>
      <w:r w:rsidRPr="00CF722D">
        <w:t>交券</w:t>
      </w:r>
      <w:proofErr w:type="gramEnd"/>
      <w:r w:rsidRPr="00CF722D">
        <w:t>日。卖方应当确保</w:t>
      </w:r>
      <w:proofErr w:type="gramStart"/>
      <w:r w:rsidRPr="00CF722D">
        <w:t>交券</w:t>
      </w:r>
      <w:proofErr w:type="gramEnd"/>
      <w:r w:rsidRPr="00CF722D">
        <w:t>的国债托管账户内有符合要求的可交割国债，国债由卖方</w:t>
      </w:r>
      <w:proofErr w:type="gramStart"/>
      <w:r w:rsidRPr="00CF722D">
        <w:t>交券</w:t>
      </w:r>
      <w:proofErr w:type="gramEnd"/>
      <w:r w:rsidRPr="00CF722D">
        <w:t>的国债托管账户划转至交易所的国债托管账户后视为卖方完成</w:t>
      </w:r>
      <w:proofErr w:type="gramStart"/>
      <w:r w:rsidRPr="00CF722D">
        <w:t>交券</w:t>
      </w:r>
      <w:proofErr w:type="gramEnd"/>
      <w:r w:rsidRPr="00CF722D">
        <w:t>。</w:t>
      </w:r>
    </w:p>
    <w:p w:rsidR="00CF722D" w:rsidRPr="00CF722D" w:rsidRDefault="00CF722D" w:rsidP="00F60E04">
      <w:pPr>
        <w:widowControl w:val="0"/>
        <w:snapToGrid w:val="0"/>
        <w:spacing w:line="560" w:lineRule="exact"/>
        <w:ind w:firstLine="640"/>
      </w:pPr>
      <w:r w:rsidRPr="00CF722D">
        <w:t>（二）第二交割日</w:t>
      </w:r>
    </w:p>
    <w:p w:rsidR="00CF722D" w:rsidRPr="00CF722D" w:rsidRDefault="00CF722D" w:rsidP="00F60E04">
      <w:pPr>
        <w:widowControl w:val="0"/>
        <w:snapToGrid w:val="0"/>
        <w:spacing w:line="560" w:lineRule="exact"/>
        <w:ind w:firstLine="640"/>
      </w:pPr>
      <w:r w:rsidRPr="00CF722D">
        <w:t>1</w:t>
      </w:r>
      <w:r w:rsidRPr="00CF722D">
        <w:t>．以一般模式进行交割的，当日为缴款日。当日结算时，交易所将交割货款从买方结算会员的结算准备金划转至卖方结算会员的结算准备金，同时释放进入交割的持仓占用的保证金。</w:t>
      </w:r>
    </w:p>
    <w:p w:rsidR="00CF722D" w:rsidRPr="00CF722D" w:rsidRDefault="00CF722D" w:rsidP="00F60E04">
      <w:pPr>
        <w:widowControl w:val="0"/>
        <w:snapToGrid w:val="0"/>
        <w:spacing w:line="560" w:lineRule="exact"/>
        <w:ind w:firstLine="640"/>
      </w:pPr>
      <w:r w:rsidRPr="00CF722D">
        <w:t>2</w:t>
      </w:r>
      <w:r w:rsidRPr="00CF722D">
        <w:t>．以券款对付模式进行交割的，当日为券款对付日。卖方和买方根据交割配对结果，按照中央结算的有关规定进行券款对付。</w:t>
      </w:r>
    </w:p>
    <w:p w:rsidR="00CF722D" w:rsidRPr="00CF722D" w:rsidRDefault="00CF722D" w:rsidP="00F60E04">
      <w:pPr>
        <w:widowControl w:val="0"/>
        <w:snapToGrid w:val="0"/>
        <w:spacing w:line="560" w:lineRule="exact"/>
        <w:ind w:firstLine="640"/>
      </w:pPr>
      <w:r w:rsidRPr="00CF722D">
        <w:t>（三）第三交割日</w:t>
      </w:r>
    </w:p>
    <w:p w:rsidR="00CF722D" w:rsidRPr="00CF722D" w:rsidRDefault="00CF722D" w:rsidP="00F60E04">
      <w:pPr>
        <w:widowControl w:val="0"/>
        <w:snapToGrid w:val="0"/>
        <w:spacing w:line="560" w:lineRule="exact"/>
        <w:ind w:firstLine="640"/>
      </w:pPr>
      <w:r w:rsidRPr="00CF722D">
        <w:t>1</w:t>
      </w:r>
      <w:r w:rsidRPr="00CF722D">
        <w:t>．以一般模式进行交割的，当日为收券日。交易所将可交割国债划转至买方收券的国债托管账户。</w:t>
      </w:r>
    </w:p>
    <w:p w:rsidR="00CF722D" w:rsidRPr="00CF722D" w:rsidRDefault="00CF722D" w:rsidP="00F60E04">
      <w:pPr>
        <w:widowControl w:val="0"/>
        <w:snapToGrid w:val="0"/>
        <w:spacing w:line="560" w:lineRule="exact"/>
        <w:ind w:firstLine="640"/>
      </w:pPr>
      <w:r w:rsidRPr="00CF722D">
        <w:t>2</w:t>
      </w:r>
      <w:r w:rsidRPr="00CF722D">
        <w:t>．以券款对付模式进行交割的，当日结算时，交易所释放进入交割的持仓占用的保证金。</w:t>
      </w:r>
    </w:p>
    <w:p w:rsidR="00CF722D" w:rsidRPr="00CF722D" w:rsidRDefault="00CF722D" w:rsidP="00F60E04">
      <w:pPr>
        <w:widowControl w:val="0"/>
        <w:snapToGrid w:val="0"/>
        <w:spacing w:line="560" w:lineRule="exact"/>
        <w:ind w:firstLine="643"/>
      </w:pPr>
      <w:r w:rsidRPr="00CF722D">
        <w:rPr>
          <w:b/>
        </w:rPr>
        <w:t>第二十三条</w:t>
      </w:r>
      <w:r w:rsidRPr="00CF722D">
        <w:rPr>
          <w:b/>
        </w:rPr>
        <w:t xml:space="preserve">  </w:t>
      </w:r>
      <w:r w:rsidRPr="00CF722D">
        <w:t>因市场出现异常情况等原因导致交割无法正常进行的，交易所有权对交割流程进行调整。</w:t>
      </w:r>
    </w:p>
    <w:p w:rsidR="00CF722D" w:rsidRPr="00CF722D" w:rsidRDefault="00CF722D" w:rsidP="00F60E04">
      <w:pPr>
        <w:widowControl w:val="0"/>
        <w:snapToGrid w:val="0"/>
        <w:spacing w:line="560" w:lineRule="exact"/>
        <w:ind w:firstLine="643"/>
      </w:pPr>
      <w:r w:rsidRPr="00CF722D">
        <w:rPr>
          <w:b/>
        </w:rPr>
        <w:t>第二十四条</w:t>
      </w:r>
      <w:r w:rsidRPr="00CF722D">
        <w:rPr>
          <w:b/>
        </w:rPr>
        <w:t xml:space="preserve">  </w:t>
      </w:r>
      <w:r w:rsidRPr="00CF722D">
        <w:t>卖方未能在规定期限内如数交付可交割国债或者买方未能在规定期限内如数缴纳交割货款的，可以采取差额补偿的方式了结未平仓合约。申请采取差额补偿的，结算会员应当在第二交割日</w:t>
      </w:r>
      <w:r w:rsidRPr="00CF722D">
        <w:t>10:00</w:t>
      </w:r>
      <w:r w:rsidRPr="00CF722D">
        <w:t>之前向交易所进行申报。</w:t>
      </w:r>
    </w:p>
    <w:p w:rsidR="00CF722D" w:rsidRPr="00CF722D" w:rsidRDefault="00CF722D" w:rsidP="00F60E04">
      <w:pPr>
        <w:widowControl w:val="0"/>
        <w:snapToGrid w:val="0"/>
        <w:spacing w:line="560" w:lineRule="exact"/>
        <w:ind w:firstLine="643"/>
      </w:pPr>
      <w:r w:rsidRPr="00CF722D">
        <w:rPr>
          <w:b/>
        </w:rPr>
        <w:t>第二十五条</w:t>
      </w:r>
      <w:r w:rsidRPr="00CF722D">
        <w:rPr>
          <w:b/>
        </w:rPr>
        <w:t xml:space="preserve">  </w:t>
      </w:r>
      <w:r w:rsidRPr="00CF722D">
        <w:t>一方进行差额补偿的，应当按照下列标准通过交易所向对方支付补偿金，并向交易所支付差额补偿部分合约价值一定比例（</w:t>
      </w:r>
      <w:r w:rsidRPr="00CF722D">
        <w:t>2</w:t>
      </w:r>
      <w:r w:rsidRPr="00CF722D">
        <w:t>年期国债期货为</w:t>
      </w:r>
      <w:r w:rsidRPr="00CF722D">
        <w:t>0.5%</w:t>
      </w:r>
      <w:r w:rsidRPr="00CF722D">
        <w:t>，</w:t>
      </w:r>
      <w:r w:rsidRPr="00CF722D">
        <w:t>5</w:t>
      </w:r>
      <w:r w:rsidRPr="00CF722D">
        <w:t>年期国债期货为</w:t>
      </w:r>
      <w:r w:rsidRPr="00CF722D">
        <w:t>0.8%</w:t>
      </w:r>
      <w:r w:rsidRPr="00CF722D">
        <w:t>，</w:t>
      </w:r>
      <w:r w:rsidRPr="00CF722D">
        <w:t>10</w:t>
      </w:r>
      <w:r w:rsidRPr="00CF722D">
        <w:t>年期国债期货为</w:t>
      </w:r>
      <w:r w:rsidRPr="00CF722D">
        <w:t>1%</w:t>
      </w:r>
      <w:r w:rsidRPr="00CF722D">
        <w:t>）的惩罚性违约金。</w:t>
      </w:r>
    </w:p>
    <w:p w:rsidR="00CF722D" w:rsidRPr="00CF722D" w:rsidRDefault="00CF722D" w:rsidP="00F60E04">
      <w:pPr>
        <w:widowControl w:val="0"/>
        <w:snapToGrid w:val="0"/>
        <w:spacing w:line="560" w:lineRule="exact"/>
        <w:ind w:firstLine="640"/>
      </w:pPr>
      <w:r w:rsidRPr="00CF722D">
        <w:t>（一）补偿金</w:t>
      </w:r>
    </w:p>
    <w:p w:rsidR="00CF722D" w:rsidRPr="00CF722D" w:rsidRDefault="00CF722D" w:rsidP="00F60E04">
      <w:pPr>
        <w:widowControl w:val="0"/>
        <w:snapToGrid w:val="0"/>
        <w:spacing w:line="560" w:lineRule="exact"/>
        <w:ind w:firstLine="640"/>
      </w:pPr>
      <w:r w:rsidRPr="00CF722D">
        <w:t>1</w:t>
      </w:r>
      <w:r w:rsidRPr="00CF722D">
        <w:t>．卖方进行差额补偿的，应当支付差额补偿部分合约价值一定比例（</w:t>
      </w:r>
      <w:r w:rsidRPr="00CF722D">
        <w:t>2</w:t>
      </w:r>
      <w:r w:rsidRPr="00CF722D">
        <w:t>年期国债期货为</w:t>
      </w:r>
      <w:r w:rsidRPr="00CF722D">
        <w:t>0.5%</w:t>
      </w:r>
      <w:r w:rsidRPr="00CF722D">
        <w:t>，</w:t>
      </w:r>
      <w:r w:rsidRPr="00CF722D">
        <w:t>5</w:t>
      </w:r>
      <w:r w:rsidRPr="00CF722D">
        <w:t>年期国债期货为</w:t>
      </w:r>
      <w:r w:rsidRPr="00CF722D">
        <w:t>0.8%</w:t>
      </w:r>
      <w:r w:rsidRPr="00CF722D">
        <w:t>，</w:t>
      </w:r>
      <w:r w:rsidRPr="00CF722D">
        <w:t>10</w:t>
      </w:r>
      <w:r w:rsidRPr="00CF722D">
        <w:t>年期国债期货为</w:t>
      </w:r>
      <w:r w:rsidRPr="00CF722D">
        <w:t>1%</w:t>
      </w:r>
      <w:r w:rsidRPr="00CF722D">
        <w:t>）的补偿金；若基准国债价格大于交割结算价与转换因子乘积的，卖方还应当按照以下计算公式继续支付差额补偿金：</w:t>
      </w:r>
    </w:p>
    <w:p w:rsidR="00CF722D" w:rsidRPr="00CF722D" w:rsidRDefault="00CF722D" w:rsidP="00F60E04">
      <w:pPr>
        <w:widowControl w:val="0"/>
        <w:snapToGrid w:val="0"/>
        <w:spacing w:line="560" w:lineRule="exact"/>
        <w:ind w:firstLine="640"/>
      </w:pPr>
      <w:r w:rsidRPr="00CF722D">
        <w:t>差额补偿金＝差额补偿部分合约数量</w:t>
      </w:r>
      <w:r w:rsidRPr="00CF722D">
        <w:t xml:space="preserve">× </w:t>
      </w:r>
      <w:r w:rsidRPr="00CF722D">
        <w:t>（基准国债价格</w:t>
      </w:r>
      <w:r w:rsidRPr="00CF722D">
        <w:rPr>
          <w:color w:val="000000"/>
          <w:sz w:val="28"/>
          <w:szCs w:val="28"/>
        </w:rPr>
        <w:t>－</w:t>
      </w:r>
      <w:r w:rsidRPr="00CF722D">
        <w:t>交割结算价</w:t>
      </w:r>
      <w:r w:rsidRPr="00CF722D">
        <w:t>×</w:t>
      </w:r>
      <w:r w:rsidRPr="00CF722D">
        <w:t>转换因子）</w:t>
      </w:r>
      <w:r w:rsidRPr="00CF722D">
        <w:t>×</w:t>
      </w:r>
      <w:r w:rsidRPr="00CF722D">
        <w:t>（合约面值</w:t>
      </w:r>
      <w:r w:rsidRPr="00CF722D">
        <w:t>/100</w:t>
      </w:r>
      <w:r w:rsidRPr="00CF722D">
        <w:t>元）</w:t>
      </w:r>
    </w:p>
    <w:p w:rsidR="00CF722D" w:rsidRPr="00CF722D" w:rsidRDefault="00CF722D" w:rsidP="00F60E04">
      <w:pPr>
        <w:widowControl w:val="0"/>
        <w:snapToGrid w:val="0"/>
        <w:spacing w:line="560" w:lineRule="exact"/>
        <w:ind w:firstLine="640"/>
      </w:pPr>
      <w:r w:rsidRPr="00CF722D">
        <w:t>2</w:t>
      </w:r>
      <w:r w:rsidRPr="00CF722D">
        <w:t>．买方进行差额补偿的，应当支付差额补偿部分合约价值一定比例（</w:t>
      </w:r>
      <w:r w:rsidRPr="00CF722D">
        <w:t>2</w:t>
      </w:r>
      <w:r w:rsidRPr="00CF722D">
        <w:t>年期国债期货为</w:t>
      </w:r>
      <w:r w:rsidRPr="00CF722D">
        <w:t>0.5%</w:t>
      </w:r>
      <w:r w:rsidRPr="00CF722D">
        <w:t>，</w:t>
      </w:r>
      <w:r w:rsidRPr="00CF722D">
        <w:t>5</w:t>
      </w:r>
      <w:r w:rsidRPr="00CF722D">
        <w:t>年期国债期货为</w:t>
      </w:r>
      <w:r w:rsidRPr="00CF722D">
        <w:t>0.8%</w:t>
      </w:r>
      <w:r w:rsidRPr="00CF722D">
        <w:t>，</w:t>
      </w:r>
      <w:r w:rsidRPr="00CF722D">
        <w:t>10</w:t>
      </w:r>
      <w:r w:rsidRPr="00CF722D">
        <w:t>年期国债期货为</w:t>
      </w:r>
      <w:r w:rsidRPr="00CF722D">
        <w:t>1%</w:t>
      </w:r>
      <w:r w:rsidRPr="00CF722D">
        <w:t>）的补偿金；若交割结算价与转换因子乘积大于基准国债价格的，买方还应当按照以下计算公式继续支付差额补偿金：</w:t>
      </w:r>
    </w:p>
    <w:p w:rsidR="00CF722D" w:rsidRPr="00CF722D" w:rsidRDefault="00CF722D" w:rsidP="00F60E04">
      <w:pPr>
        <w:widowControl w:val="0"/>
        <w:snapToGrid w:val="0"/>
        <w:spacing w:line="560" w:lineRule="exact"/>
        <w:ind w:firstLine="640"/>
      </w:pPr>
      <w:r w:rsidRPr="00CF722D">
        <w:t>差额补偿金＝差额补偿部分合约数量</w:t>
      </w:r>
      <w:r w:rsidRPr="00CF722D">
        <w:t xml:space="preserve">× </w:t>
      </w:r>
      <w:r w:rsidRPr="00CF722D">
        <w:t>（交割结算价</w:t>
      </w:r>
      <w:r w:rsidRPr="00CF722D">
        <w:t>×</w:t>
      </w:r>
      <w:r w:rsidRPr="00CF722D">
        <w:t>转换因子</w:t>
      </w:r>
      <w:r w:rsidRPr="00CF722D">
        <w:rPr>
          <w:color w:val="000000"/>
          <w:sz w:val="28"/>
          <w:szCs w:val="28"/>
        </w:rPr>
        <w:t>－</w:t>
      </w:r>
      <w:r w:rsidRPr="00CF722D">
        <w:t>基准国债价格）</w:t>
      </w:r>
      <w:r w:rsidRPr="00CF722D">
        <w:t>×</w:t>
      </w:r>
      <w:r w:rsidRPr="00CF722D">
        <w:t>（合约面值</w:t>
      </w:r>
      <w:r w:rsidRPr="00CF722D">
        <w:t>/100</w:t>
      </w:r>
      <w:r w:rsidRPr="00CF722D">
        <w:t>元）</w:t>
      </w:r>
    </w:p>
    <w:p w:rsidR="00CF722D" w:rsidRPr="00CF722D" w:rsidRDefault="00CF722D" w:rsidP="00F60E04">
      <w:pPr>
        <w:widowControl w:val="0"/>
        <w:snapToGrid w:val="0"/>
        <w:spacing w:line="560" w:lineRule="exact"/>
        <w:ind w:firstLine="640"/>
      </w:pPr>
      <w:r w:rsidRPr="00CF722D">
        <w:t>差额补偿后，交易所向卖方退还已交付的差额补偿部分相应的国债。</w:t>
      </w:r>
    </w:p>
    <w:p w:rsidR="00CF722D" w:rsidRPr="00CF722D" w:rsidRDefault="00CF722D" w:rsidP="00F60E04">
      <w:pPr>
        <w:widowControl w:val="0"/>
        <w:snapToGrid w:val="0"/>
        <w:spacing w:line="560" w:lineRule="exact"/>
        <w:ind w:firstLine="640"/>
      </w:pPr>
      <w:r w:rsidRPr="00CF722D">
        <w:t>（二）基准国债</w:t>
      </w:r>
    </w:p>
    <w:p w:rsidR="00CF722D" w:rsidRPr="00CF722D" w:rsidRDefault="00CF722D" w:rsidP="00F60E04">
      <w:pPr>
        <w:widowControl w:val="0"/>
        <w:snapToGrid w:val="0"/>
        <w:spacing w:line="560" w:lineRule="exact"/>
        <w:ind w:firstLine="640"/>
      </w:pPr>
      <w:r w:rsidRPr="00CF722D">
        <w:t>最后交易日之前申请交割的，以卖方申报的国债作为基准国债；最后交易</w:t>
      </w:r>
      <w:proofErr w:type="gramStart"/>
      <w:r w:rsidRPr="00CF722D">
        <w:t>日进入</w:t>
      </w:r>
      <w:proofErr w:type="gramEnd"/>
      <w:r w:rsidRPr="00CF722D">
        <w:t>交割的，以该合约所有卖方有效申报交割数量最大的国债作为基准国债，所有卖方有效申报交割数量最大的国债</w:t>
      </w:r>
      <w:proofErr w:type="gramStart"/>
      <w:r w:rsidRPr="00CF722D">
        <w:t>不</w:t>
      </w:r>
      <w:proofErr w:type="gramEnd"/>
      <w:r w:rsidRPr="00CF722D">
        <w:t>唯一的，以其中上市交易日期最近的国债作为基准国债。</w:t>
      </w:r>
    </w:p>
    <w:p w:rsidR="00CF722D" w:rsidRPr="00CF722D" w:rsidRDefault="00CF722D" w:rsidP="00F60E04">
      <w:pPr>
        <w:widowControl w:val="0"/>
        <w:snapToGrid w:val="0"/>
        <w:spacing w:line="560" w:lineRule="exact"/>
        <w:ind w:firstLine="640"/>
      </w:pPr>
      <w:r w:rsidRPr="00CF722D">
        <w:t>按照上述方式无法确定基准国债的，交易所有权指定基准国债。</w:t>
      </w:r>
    </w:p>
    <w:p w:rsidR="00CF722D" w:rsidRPr="00CF722D" w:rsidRDefault="00CF722D" w:rsidP="00F60E04">
      <w:pPr>
        <w:widowControl w:val="0"/>
        <w:snapToGrid w:val="0"/>
        <w:spacing w:line="560" w:lineRule="exact"/>
        <w:ind w:firstLine="640"/>
      </w:pPr>
      <w:r w:rsidRPr="00CF722D">
        <w:t>（三）基准国债价格</w:t>
      </w:r>
    </w:p>
    <w:p w:rsidR="00CF722D" w:rsidRPr="00CF722D" w:rsidRDefault="00CF722D" w:rsidP="00F60E04">
      <w:pPr>
        <w:widowControl w:val="0"/>
        <w:snapToGrid w:val="0"/>
        <w:spacing w:line="560" w:lineRule="exact"/>
        <w:ind w:firstLine="640"/>
      </w:pPr>
      <w:r w:rsidRPr="00CF722D">
        <w:t>基准国债价格以交易所认定的机构发布的估值数据为准。</w:t>
      </w:r>
    </w:p>
    <w:p w:rsidR="00CF722D" w:rsidRPr="00CF722D" w:rsidRDefault="00CF722D" w:rsidP="00F60E04">
      <w:pPr>
        <w:widowControl w:val="0"/>
        <w:snapToGrid w:val="0"/>
        <w:spacing w:line="560" w:lineRule="exact"/>
        <w:ind w:firstLine="640"/>
      </w:pPr>
      <w:r w:rsidRPr="00CF722D">
        <w:t>最后交易日之前申请交割的，以卖方交割申报当日该基准国债的估值作为基准国债价格；最后交易</w:t>
      </w:r>
      <w:proofErr w:type="gramStart"/>
      <w:r w:rsidRPr="00CF722D">
        <w:t>日进入</w:t>
      </w:r>
      <w:proofErr w:type="gramEnd"/>
      <w:r w:rsidRPr="00CF722D">
        <w:t>交割的，以最后交易日该基准国债的估值作为基准国债价格。</w:t>
      </w:r>
    </w:p>
    <w:p w:rsidR="00CF722D" w:rsidRPr="00CF722D" w:rsidRDefault="00CF722D" w:rsidP="00F60E04">
      <w:pPr>
        <w:widowControl w:val="0"/>
        <w:snapToGrid w:val="0"/>
        <w:spacing w:line="560" w:lineRule="exact"/>
        <w:ind w:firstLine="640"/>
      </w:pPr>
      <w:r w:rsidRPr="00CF722D">
        <w:t>交易所有权对基准国债价格进行调整。</w:t>
      </w:r>
    </w:p>
    <w:p w:rsidR="00CF722D" w:rsidRPr="00CF722D" w:rsidRDefault="00CF722D" w:rsidP="00F60E04">
      <w:pPr>
        <w:widowControl w:val="0"/>
        <w:snapToGrid w:val="0"/>
        <w:spacing w:line="560" w:lineRule="exact"/>
        <w:ind w:firstLine="643"/>
      </w:pPr>
      <w:r w:rsidRPr="00CF722D">
        <w:rPr>
          <w:b/>
        </w:rPr>
        <w:t>第二十六条</w:t>
      </w:r>
      <w:r w:rsidRPr="00CF722D">
        <w:rPr>
          <w:b/>
        </w:rPr>
        <w:t xml:space="preserve">  </w:t>
      </w:r>
      <w:r w:rsidRPr="00CF722D">
        <w:t>双方未能在规定期限内如数交付可交割国债或者交割货款的，交易所向双方分别收取相应合约价值一定比例（</w:t>
      </w:r>
      <w:r w:rsidRPr="00CF722D">
        <w:t>2</w:t>
      </w:r>
      <w:r w:rsidRPr="00CF722D">
        <w:t>年期国债期货为</w:t>
      </w:r>
      <w:r w:rsidRPr="00CF722D">
        <w:t>1%</w:t>
      </w:r>
      <w:r w:rsidRPr="00CF722D">
        <w:t>，</w:t>
      </w:r>
      <w:r w:rsidRPr="00CF722D">
        <w:t>5</w:t>
      </w:r>
      <w:r w:rsidRPr="00CF722D">
        <w:t>年期国债期货为</w:t>
      </w:r>
      <w:r w:rsidRPr="00CF722D">
        <w:t>1.6%</w:t>
      </w:r>
      <w:r w:rsidRPr="00CF722D">
        <w:t>，</w:t>
      </w:r>
      <w:r w:rsidRPr="00CF722D">
        <w:t>10</w:t>
      </w:r>
      <w:r w:rsidRPr="00CF722D">
        <w:t>年期国债期货为</w:t>
      </w:r>
      <w:r w:rsidRPr="00CF722D">
        <w:t>2%</w:t>
      </w:r>
      <w:r w:rsidRPr="00CF722D">
        <w:t>）的惩罚性违约金。</w:t>
      </w:r>
    </w:p>
    <w:p w:rsidR="00CF722D" w:rsidRPr="00CF722D" w:rsidRDefault="00CF722D" w:rsidP="00F60E04">
      <w:pPr>
        <w:widowControl w:val="0"/>
        <w:snapToGrid w:val="0"/>
        <w:spacing w:line="560" w:lineRule="exact"/>
        <w:ind w:firstLine="640"/>
      </w:pPr>
    </w:p>
    <w:p w:rsidR="00CF722D" w:rsidRPr="00CF722D" w:rsidRDefault="00CF722D" w:rsidP="00F60E04">
      <w:pPr>
        <w:widowControl w:val="0"/>
        <w:snapToGrid w:val="0"/>
        <w:spacing w:line="560" w:lineRule="exact"/>
        <w:ind w:firstLineChars="0" w:firstLine="0"/>
        <w:jc w:val="center"/>
        <w:rPr>
          <w:b/>
        </w:rPr>
      </w:pPr>
      <w:r w:rsidRPr="00CF722D">
        <w:rPr>
          <w:b/>
        </w:rPr>
        <w:t>第五章</w:t>
      </w:r>
      <w:r w:rsidRPr="00CF722D">
        <w:rPr>
          <w:b/>
        </w:rPr>
        <w:t xml:space="preserve"> </w:t>
      </w:r>
      <w:r w:rsidRPr="00CF722D">
        <w:rPr>
          <w:b/>
        </w:rPr>
        <w:t>交割结算</w:t>
      </w:r>
    </w:p>
    <w:p w:rsidR="00CF722D" w:rsidRPr="00CF722D" w:rsidRDefault="00CF722D" w:rsidP="00F60E04">
      <w:pPr>
        <w:widowControl w:val="0"/>
        <w:snapToGrid w:val="0"/>
        <w:spacing w:line="560" w:lineRule="exact"/>
        <w:ind w:firstLineChars="0" w:firstLine="0"/>
        <w:jc w:val="center"/>
        <w:rPr>
          <w:b/>
        </w:rPr>
      </w:pPr>
    </w:p>
    <w:p w:rsidR="00CF722D" w:rsidRPr="00CF722D" w:rsidRDefault="00CF722D" w:rsidP="00F60E04">
      <w:pPr>
        <w:widowControl w:val="0"/>
        <w:snapToGrid w:val="0"/>
        <w:spacing w:line="560" w:lineRule="exact"/>
        <w:ind w:firstLine="643"/>
      </w:pPr>
      <w:r w:rsidRPr="00CF722D">
        <w:rPr>
          <w:b/>
        </w:rPr>
        <w:t>第二十七条</w:t>
      </w:r>
      <w:r w:rsidRPr="00CF722D">
        <w:rPr>
          <w:rFonts w:hint="eastAsia"/>
          <w:b/>
        </w:rPr>
        <w:t xml:space="preserve"> </w:t>
      </w:r>
      <w:r w:rsidRPr="00CF722D">
        <w:rPr>
          <w:b/>
        </w:rPr>
        <w:t xml:space="preserve"> </w:t>
      </w:r>
      <w:r w:rsidRPr="00CF722D">
        <w:t>国债期货合约最后交易日之前的交割结算价为卖方交割申报当日的结算价，最后交易日的交割结算价为集中交易中该合约最后交易日全部成交价格按照成交量的加权平均价。计算结果保留至小数点后三位。</w:t>
      </w:r>
    </w:p>
    <w:p w:rsidR="00CF722D" w:rsidRPr="00CF722D" w:rsidRDefault="00CF722D" w:rsidP="00F60E04">
      <w:pPr>
        <w:widowControl w:val="0"/>
        <w:snapToGrid w:val="0"/>
        <w:spacing w:line="560" w:lineRule="exact"/>
        <w:ind w:firstLine="640"/>
      </w:pPr>
      <w:r w:rsidRPr="00CF722D">
        <w:t>合约最后交易日无成交的，交割结算价计算公式为：交割结算价</w:t>
      </w:r>
      <w:r w:rsidRPr="00CF722D">
        <w:t>=</w:t>
      </w:r>
      <w:r w:rsidRPr="00CF722D">
        <w:t>该合约上一交易日结算价</w:t>
      </w:r>
      <w:r w:rsidRPr="00CF722D">
        <w:t>+</w:t>
      </w:r>
      <w:r w:rsidRPr="00CF722D">
        <w:t>基准合约当日结算价</w:t>
      </w:r>
      <w:r w:rsidRPr="00CF722D">
        <w:rPr>
          <w:color w:val="000000"/>
          <w:sz w:val="28"/>
          <w:szCs w:val="28"/>
        </w:rPr>
        <w:t>－</w:t>
      </w:r>
      <w:r w:rsidRPr="00CF722D">
        <w:t>基准合约上一交易日结算价，其中，基准合约为当日有成交的离交割月份最近的合约。根据本公式计算出的交割结算价超出合约涨跌停板价格的，取涨跌停板价格作为交割结算价。</w:t>
      </w:r>
    </w:p>
    <w:p w:rsidR="00CF722D" w:rsidRPr="00CF722D" w:rsidRDefault="00CF722D" w:rsidP="00F60E04">
      <w:pPr>
        <w:widowControl w:val="0"/>
        <w:snapToGrid w:val="0"/>
        <w:spacing w:line="560" w:lineRule="exact"/>
        <w:ind w:firstLine="640"/>
      </w:pPr>
      <w:r w:rsidRPr="00CF722D">
        <w:t>交易所有权根据市场情况对交割结算价进行调整。</w:t>
      </w:r>
    </w:p>
    <w:p w:rsidR="00CF722D" w:rsidRPr="00CF722D" w:rsidRDefault="00CF722D" w:rsidP="00F60E04">
      <w:pPr>
        <w:widowControl w:val="0"/>
        <w:snapToGrid w:val="0"/>
        <w:spacing w:line="560" w:lineRule="exact"/>
        <w:ind w:firstLine="643"/>
      </w:pPr>
      <w:r w:rsidRPr="00CF722D">
        <w:rPr>
          <w:b/>
        </w:rPr>
        <w:t>第二十八条</w:t>
      </w:r>
      <w:r w:rsidRPr="00CF722D">
        <w:rPr>
          <w:b/>
        </w:rPr>
        <w:t xml:space="preserve">  </w:t>
      </w:r>
      <w:r w:rsidRPr="00CF722D">
        <w:t>交割货款以交割结算价为基础进行计算，计算公式如下：</w:t>
      </w:r>
    </w:p>
    <w:p w:rsidR="00CF722D" w:rsidRPr="00CF722D" w:rsidRDefault="00CF722D" w:rsidP="00F60E04">
      <w:pPr>
        <w:widowControl w:val="0"/>
        <w:snapToGrid w:val="0"/>
        <w:spacing w:line="560" w:lineRule="exact"/>
        <w:ind w:firstLine="640"/>
      </w:pPr>
      <w:r w:rsidRPr="00CF722D">
        <w:t>交割货款＝交割数量</w:t>
      </w:r>
      <w:r w:rsidRPr="00CF722D">
        <w:t>×</w:t>
      </w:r>
      <w:r w:rsidRPr="00CF722D">
        <w:t>（交割结算价</w:t>
      </w:r>
      <w:r w:rsidRPr="00CF722D">
        <w:t>×</w:t>
      </w:r>
      <w:r w:rsidRPr="00CF722D">
        <w:t>转换因子</w:t>
      </w:r>
      <w:r w:rsidRPr="00CF722D">
        <w:t>+</w:t>
      </w:r>
      <w:r w:rsidRPr="00CF722D">
        <w:t>应计利息）</w:t>
      </w:r>
      <w:r w:rsidRPr="00CF722D">
        <w:t>×</w:t>
      </w:r>
      <w:r w:rsidRPr="00CF722D">
        <w:t>（合约面值</w:t>
      </w:r>
      <w:r w:rsidRPr="00CF722D">
        <w:t>/100</w:t>
      </w:r>
      <w:r w:rsidRPr="00CF722D">
        <w:t>元）</w:t>
      </w:r>
    </w:p>
    <w:p w:rsidR="00CF722D" w:rsidRPr="00CF722D" w:rsidRDefault="00CF722D" w:rsidP="00F60E04">
      <w:pPr>
        <w:widowControl w:val="0"/>
        <w:snapToGrid w:val="0"/>
        <w:spacing w:line="560" w:lineRule="exact"/>
        <w:ind w:firstLine="640"/>
      </w:pPr>
      <w:r w:rsidRPr="00CF722D">
        <w:t>其中，应计利息为该可交割国债上一付息日至第二交割日的利息。</w:t>
      </w:r>
    </w:p>
    <w:p w:rsidR="00CF722D" w:rsidRPr="00CF722D" w:rsidRDefault="00CF722D" w:rsidP="00F60E04">
      <w:pPr>
        <w:widowControl w:val="0"/>
        <w:snapToGrid w:val="0"/>
        <w:spacing w:line="560" w:lineRule="exact"/>
        <w:ind w:firstLine="643"/>
      </w:pPr>
      <w:r w:rsidRPr="00CF722D">
        <w:rPr>
          <w:b/>
        </w:rPr>
        <w:t>第二十九条</w:t>
      </w:r>
      <w:r w:rsidRPr="00CF722D">
        <w:rPr>
          <w:b/>
        </w:rPr>
        <w:t xml:space="preserve">  </w:t>
      </w:r>
      <w:r w:rsidRPr="00CF722D">
        <w:t>国债期货合约的交割手续费标准为每手</w:t>
      </w:r>
      <w:r w:rsidRPr="00CF722D">
        <w:t>5</w:t>
      </w:r>
      <w:r w:rsidRPr="00CF722D">
        <w:t>元</w:t>
      </w:r>
      <w:r w:rsidRPr="00CF722D">
        <w:rPr>
          <w:rFonts w:hint="eastAsia"/>
        </w:rPr>
        <w:t>。</w:t>
      </w:r>
      <w:r w:rsidRPr="00CF722D">
        <w:t>交易所有权对交割手续费标准进行调整。</w:t>
      </w:r>
    </w:p>
    <w:p w:rsidR="00CF722D" w:rsidRPr="00CF722D" w:rsidRDefault="00CF722D" w:rsidP="00F60E04">
      <w:pPr>
        <w:widowControl w:val="0"/>
        <w:snapToGrid w:val="0"/>
        <w:spacing w:line="560" w:lineRule="exact"/>
        <w:ind w:firstLine="643"/>
      </w:pPr>
      <w:r w:rsidRPr="00CF722D">
        <w:rPr>
          <w:b/>
        </w:rPr>
        <w:t>第三十条</w:t>
      </w:r>
      <w:r w:rsidRPr="00CF722D">
        <w:rPr>
          <w:b/>
        </w:rPr>
        <w:t xml:space="preserve">  </w:t>
      </w:r>
      <w:r w:rsidRPr="00CF722D">
        <w:t>交割涉及的国债过户费等费用按照国债托管机构的有关规定执行，发生跨国债托管机构交割过户的，由买方承担转托管费。</w:t>
      </w:r>
    </w:p>
    <w:p w:rsidR="00CF722D" w:rsidRPr="00CF722D" w:rsidRDefault="00CF722D" w:rsidP="00F60E04">
      <w:pPr>
        <w:widowControl w:val="0"/>
        <w:snapToGrid w:val="0"/>
        <w:spacing w:line="560" w:lineRule="exact"/>
        <w:ind w:firstLine="640"/>
      </w:pPr>
    </w:p>
    <w:p w:rsidR="00CF722D" w:rsidRPr="00CF722D" w:rsidRDefault="00CF722D" w:rsidP="00F60E04">
      <w:pPr>
        <w:widowControl w:val="0"/>
        <w:snapToGrid w:val="0"/>
        <w:spacing w:line="560" w:lineRule="exact"/>
        <w:ind w:firstLineChars="0" w:firstLine="0"/>
        <w:jc w:val="center"/>
        <w:rPr>
          <w:b/>
        </w:rPr>
      </w:pPr>
      <w:bookmarkStart w:id="1" w:name="_Toc133376085"/>
      <w:bookmarkStart w:id="2" w:name="_Toc133656812"/>
      <w:r w:rsidRPr="00CF722D">
        <w:rPr>
          <w:b/>
        </w:rPr>
        <w:t>第六章</w:t>
      </w:r>
      <w:r w:rsidRPr="00CF722D">
        <w:rPr>
          <w:b/>
        </w:rPr>
        <w:t xml:space="preserve"> </w:t>
      </w:r>
      <w:r w:rsidRPr="00CF722D">
        <w:rPr>
          <w:b/>
        </w:rPr>
        <w:t>附则</w:t>
      </w:r>
      <w:bookmarkEnd w:id="1"/>
      <w:bookmarkEnd w:id="2"/>
    </w:p>
    <w:p w:rsidR="00CF722D" w:rsidRPr="00CF722D" w:rsidRDefault="00CF722D" w:rsidP="00F60E04">
      <w:pPr>
        <w:widowControl w:val="0"/>
        <w:snapToGrid w:val="0"/>
        <w:spacing w:line="560" w:lineRule="exact"/>
        <w:ind w:firstLineChars="0" w:firstLine="0"/>
        <w:jc w:val="center"/>
        <w:rPr>
          <w:b/>
        </w:rPr>
      </w:pPr>
    </w:p>
    <w:p w:rsidR="00CF722D" w:rsidRPr="00CF722D" w:rsidRDefault="00CF722D" w:rsidP="00F60E04">
      <w:pPr>
        <w:widowControl w:val="0"/>
        <w:snapToGrid w:val="0"/>
        <w:spacing w:line="560" w:lineRule="exact"/>
        <w:ind w:firstLine="643"/>
        <w:rPr>
          <w:b/>
        </w:rPr>
      </w:pPr>
      <w:r w:rsidRPr="00CF722D">
        <w:rPr>
          <w:b/>
        </w:rPr>
        <w:t>第三十一条</w:t>
      </w:r>
      <w:r w:rsidRPr="00CF722D">
        <w:rPr>
          <w:b/>
        </w:rPr>
        <w:t xml:space="preserve">  </w:t>
      </w:r>
      <w:r w:rsidRPr="00CF722D">
        <w:t>本细则所称合约价值的计算公式为：合约价值＝交割结算价</w:t>
      </w:r>
      <w:r w:rsidRPr="00CF722D">
        <w:t>×</w:t>
      </w:r>
      <w:r w:rsidRPr="00CF722D">
        <w:t>（合约面值</w:t>
      </w:r>
      <w:r w:rsidRPr="00CF722D">
        <w:t>/100</w:t>
      </w:r>
      <w:r w:rsidRPr="00CF722D">
        <w:t>元）。</w:t>
      </w:r>
    </w:p>
    <w:p w:rsidR="00CF722D" w:rsidRPr="00CF722D" w:rsidRDefault="00CF722D" w:rsidP="00F60E04">
      <w:pPr>
        <w:widowControl w:val="0"/>
        <w:snapToGrid w:val="0"/>
        <w:spacing w:line="560" w:lineRule="exact"/>
        <w:ind w:firstLine="643"/>
      </w:pPr>
      <w:r w:rsidRPr="00CF722D">
        <w:rPr>
          <w:b/>
        </w:rPr>
        <w:t>第三十二条</w:t>
      </w:r>
      <w:r w:rsidRPr="00CF722D">
        <w:rPr>
          <w:b/>
        </w:rPr>
        <w:t xml:space="preserve">  </w:t>
      </w:r>
      <w:r w:rsidRPr="00CF722D">
        <w:t>违反本细则规定的，交易所按照《中国金融期货交易所违规违约处理办法》有关规定处理。</w:t>
      </w:r>
    </w:p>
    <w:p w:rsidR="00CF722D" w:rsidRPr="00CF722D" w:rsidRDefault="00CF722D" w:rsidP="00F60E04">
      <w:pPr>
        <w:widowControl w:val="0"/>
        <w:snapToGrid w:val="0"/>
        <w:spacing w:line="560" w:lineRule="exact"/>
        <w:ind w:firstLine="643"/>
      </w:pPr>
      <w:r w:rsidRPr="00CF722D">
        <w:rPr>
          <w:b/>
        </w:rPr>
        <w:t>第三十三条</w:t>
      </w:r>
      <w:r w:rsidRPr="00CF722D">
        <w:rPr>
          <w:b/>
        </w:rPr>
        <w:t xml:space="preserve">  </w:t>
      </w:r>
      <w:r w:rsidRPr="00CF722D">
        <w:t>本细则由交易所负责解释。</w:t>
      </w:r>
    </w:p>
    <w:p w:rsidR="00CF722D" w:rsidRPr="00CF722D" w:rsidRDefault="00CF722D" w:rsidP="00F60E04">
      <w:pPr>
        <w:snapToGrid w:val="0"/>
        <w:spacing w:line="560" w:lineRule="exact"/>
        <w:ind w:firstLine="643"/>
        <w:jc w:val="left"/>
      </w:pPr>
      <w:r w:rsidRPr="00417073">
        <w:rPr>
          <w:b/>
        </w:rPr>
        <w:t>第三十四条</w:t>
      </w:r>
      <w:r w:rsidRPr="00417073">
        <w:rPr>
          <w:b/>
        </w:rPr>
        <w:t xml:space="preserve">  </w:t>
      </w:r>
      <w:r w:rsidRPr="00417073">
        <w:t>本细则自</w:t>
      </w:r>
      <w:r w:rsidR="00D501CF" w:rsidRPr="00417073">
        <w:t>2020</w:t>
      </w:r>
      <w:r w:rsidRPr="00417073">
        <w:t>年</w:t>
      </w:r>
      <w:r w:rsidR="00D501CF" w:rsidRPr="00417073">
        <w:t>3</w:t>
      </w:r>
      <w:r w:rsidRPr="00417073">
        <w:t>月</w:t>
      </w:r>
      <w:r w:rsidR="00193D7B">
        <w:t>9</w:t>
      </w:r>
      <w:r w:rsidRPr="00417073">
        <w:t>日起实施</w:t>
      </w:r>
      <w:r w:rsidRPr="00417073">
        <w:rPr>
          <w:rFonts w:hint="eastAsia"/>
        </w:rPr>
        <w:t>。</w:t>
      </w:r>
    </w:p>
    <w:p w:rsidR="00C81E30" w:rsidRPr="00D501CF" w:rsidRDefault="00C81E30" w:rsidP="00F60E04">
      <w:pPr>
        <w:spacing w:line="560" w:lineRule="exact"/>
        <w:ind w:firstLine="640"/>
      </w:pPr>
    </w:p>
    <w:sectPr w:rsidR="00C81E30" w:rsidRPr="00D501CF" w:rsidSect="00AC6495">
      <w:headerReference w:type="even" r:id="rId6"/>
      <w:headerReference w:type="default" r:id="rId7"/>
      <w:footerReference w:type="even" r:id="rId8"/>
      <w:footerReference w:type="default" r:id="rId9"/>
      <w:headerReference w:type="first" r:id="rId10"/>
      <w:footerReference w:type="first" r:id="rId11"/>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4EC" w:rsidRDefault="00F60E04">
      <w:pPr>
        <w:spacing w:line="240" w:lineRule="auto"/>
        <w:ind w:firstLine="640"/>
      </w:pPr>
      <w:r>
        <w:separator/>
      </w:r>
    </w:p>
  </w:endnote>
  <w:endnote w:type="continuationSeparator" w:id="0">
    <w:p w:rsidR="007C34EC" w:rsidRDefault="00F60E0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81" w:rsidRDefault="00C45A8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503706"/>
      <w:docPartObj>
        <w:docPartGallery w:val="Page Numbers (Bottom of Page)"/>
        <w:docPartUnique/>
      </w:docPartObj>
    </w:sdtPr>
    <w:sdtEndPr/>
    <w:sdtContent>
      <w:p w:rsidR="00ED67BE" w:rsidRDefault="00ED67BE">
        <w:pPr>
          <w:pStyle w:val="a3"/>
          <w:ind w:firstLine="640"/>
          <w:jc w:val="center"/>
        </w:pPr>
        <w:r>
          <w:fldChar w:fldCharType="begin"/>
        </w:r>
        <w:r>
          <w:instrText>PAGE   \* MERGEFORMAT</w:instrText>
        </w:r>
        <w:r>
          <w:fldChar w:fldCharType="separate"/>
        </w:r>
        <w:r w:rsidR="00AA624D" w:rsidRPr="00AA624D">
          <w:rPr>
            <w:noProof/>
            <w:lang w:val="zh-CN"/>
          </w:rPr>
          <w:t>1</w:t>
        </w:r>
        <w:r>
          <w:fldChar w:fldCharType="end"/>
        </w:r>
      </w:p>
    </w:sdtContent>
  </w:sdt>
  <w:p w:rsidR="00AB7061" w:rsidRDefault="00AA624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81" w:rsidRDefault="00C45A8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4EC" w:rsidRDefault="00F60E04">
      <w:pPr>
        <w:spacing w:line="240" w:lineRule="auto"/>
        <w:ind w:firstLine="640"/>
      </w:pPr>
      <w:r>
        <w:separator/>
      </w:r>
    </w:p>
  </w:footnote>
  <w:footnote w:type="continuationSeparator" w:id="0">
    <w:p w:rsidR="007C34EC" w:rsidRDefault="00F60E04">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81" w:rsidRDefault="00C45A81">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81" w:rsidRPr="00C45A81" w:rsidRDefault="00C45A81" w:rsidP="00C45A81">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81" w:rsidRDefault="00C45A81">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2D"/>
    <w:rsid w:val="00115333"/>
    <w:rsid w:val="00193D7B"/>
    <w:rsid w:val="003A61C4"/>
    <w:rsid w:val="00417073"/>
    <w:rsid w:val="00644D18"/>
    <w:rsid w:val="007C34EC"/>
    <w:rsid w:val="00AA624D"/>
    <w:rsid w:val="00AC6495"/>
    <w:rsid w:val="00C45A81"/>
    <w:rsid w:val="00C81E30"/>
    <w:rsid w:val="00CF722D"/>
    <w:rsid w:val="00D501CF"/>
    <w:rsid w:val="00ED67BE"/>
    <w:rsid w:val="00F60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95D9C94C-BDB4-4B2D-B184-3A71D2FE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简体" w:hAnsi="Times New Roman" w:cs="Times New Roman"/>
        <w:kern w:val="2"/>
        <w:sz w:val="32"/>
        <w:szCs w:val="32"/>
        <w:lang w:val="en-US" w:eastAsia="zh-CN" w:bidi="ar-SA"/>
      </w:rPr>
    </w:rPrDefault>
    <w:pPrDefault>
      <w:pPr>
        <w:spacing w:line="54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F722D"/>
    <w:pPr>
      <w:widowControl w:val="0"/>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
    <w:name w:val="页脚 Char"/>
    <w:basedOn w:val="a0"/>
    <w:link w:val="a3"/>
    <w:uiPriority w:val="99"/>
    <w:rsid w:val="00CF722D"/>
    <w:rPr>
      <w:rFonts w:asciiTheme="minorHAnsi" w:eastAsiaTheme="minorEastAsia" w:hAnsiTheme="minorHAnsi" w:cstheme="minorBidi"/>
      <w:sz w:val="18"/>
      <w:szCs w:val="18"/>
    </w:rPr>
  </w:style>
  <w:style w:type="paragraph" w:styleId="a4">
    <w:name w:val="header"/>
    <w:basedOn w:val="a"/>
    <w:link w:val="Char0"/>
    <w:uiPriority w:val="99"/>
    <w:unhideWhenUsed/>
    <w:rsid w:val="00C45A8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C45A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701</Words>
  <Characters>4000</Characters>
  <Application>Microsoft Office Word</Application>
  <DocSecurity>0</DocSecurity>
  <Lines>33</Lines>
  <Paragraphs>9</Paragraphs>
  <ScaleCrop>false</ScaleCrop>
  <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普丽芬</dc:creator>
  <cp:keywords/>
  <dc:description/>
  <cp:lastModifiedBy>普丽芬</cp:lastModifiedBy>
  <cp:revision>11</cp:revision>
  <dcterms:created xsi:type="dcterms:W3CDTF">2020-02-21T03:48:00Z</dcterms:created>
  <dcterms:modified xsi:type="dcterms:W3CDTF">2020-02-28T09:30:00Z</dcterms:modified>
</cp:coreProperties>
</file>