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B03" w:rsidRDefault="00C45B03" w:rsidP="00EB7523">
      <w:pPr>
        <w:keepNext/>
        <w:keepLines/>
        <w:spacing w:line="560" w:lineRule="exact"/>
        <w:jc w:val="center"/>
        <w:outlineLvl w:val="0"/>
        <w:rPr>
          <w:rFonts w:ascii="方正大标宋简体" w:eastAsia="方正大标宋简体" w:hAnsiTheme="minorHAnsi" w:cstheme="minorBidi"/>
          <w:bCs/>
          <w:kern w:val="44"/>
          <w:sz w:val="44"/>
          <w:szCs w:val="44"/>
        </w:rPr>
      </w:pPr>
      <w:r w:rsidRPr="00F16126">
        <w:rPr>
          <w:rFonts w:ascii="方正大标宋简体" w:eastAsia="方正大标宋简体" w:hAnsiTheme="minorHAnsi" w:cstheme="minorBidi"/>
          <w:bCs/>
          <w:kern w:val="44"/>
          <w:sz w:val="44"/>
          <w:szCs w:val="44"/>
        </w:rPr>
        <w:t>中国金融期货交易所</w:t>
      </w:r>
    </w:p>
    <w:p w:rsidR="00C45B03" w:rsidRDefault="00C45B03" w:rsidP="00EB7523">
      <w:pPr>
        <w:keepNext/>
        <w:keepLines/>
        <w:spacing w:line="560" w:lineRule="exact"/>
        <w:jc w:val="center"/>
        <w:outlineLvl w:val="0"/>
        <w:rPr>
          <w:rFonts w:ascii="方正大标宋简体" w:eastAsia="方正大标宋简体" w:hAnsiTheme="minorHAnsi" w:cstheme="minorBidi"/>
          <w:bCs/>
          <w:kern w:val="44"/>
          <w:sz w:val="44"/>
          <w:szCs w:val="44"/>
        </w:rPr>
      </w:pPr>
      <w:r w:rsidRPr="00F16126">
        <w:rPr>
          <w:rFonts w:ascii="方正大标宋简体" w:eastAsia="方正大标宋简体" w:hAnsiTheme="minorHAnsi" w:cstheme="minorBidi"/>
          <w:bCs/>
          <w:kern w:val="44"/>
          <w:sz w:val="44"/>
          <w:szCs w:val="44"/>
        </w:rPr>
        <w:t>国债期货合约</w:t>
      </w:r>
      <w:proofErr w:type="gramStart"/>
      <w:r w:rsidRPr="00F16126">
        <w:rPr>
          <w:rFonts w:ascii="方正大标宋简体" w:eastAsia="方正大标宋简体" w:hAnsiTheme="minorHAnsi" w:cstheme="minorBidi"/>
          <w:bCs/>
          <w:kern w:val="44"/>
          <w:sz w:val="44"/>
          <w:szCs w:val="44"/>
        </w:rPr>
        <w:t>期转现交易</w:t>
      </w:r>
      <w:proofErr w:type="gramEnd"/>
      <w:r w:rsidRPr="00F16126">
        <w:rPr>
          <w:rFonts w:ascii="方正大标宋简体" w:eastAsia="方正大标宋简体" w:hAnsiTheme="minorHAnsi" w:cstheme="minorBidi"/>
          <w:bCs/>
          <w:kern w:val="44"/>
          <w:sz w:val="44"/>
          <w:szCs w:val="44"/>
        </w:rPr>
        <w:t>细则</w:t>
      </w:r>
    </w:p>
    <w:p w:rsidR="00C45B03" w:rsidRDefault="00C45B03" w:rsidP="00EB7523">
      <w:pPr>
        <w:snapToGrid w:val="0"/>
        <w:spacing w:line="560" w:lineRule="exact"/>
        <w:jc w:val="center"/>
        <w:rPr>
          <w:rFonts w:eastAsia="方正仿宋简体"/>
          <w:sz w:val="32"/>
          <w:szCs w:val="32"/>
        </w:rPr>
      </w:pPr>
    </w:p>
    <w:p w:rsidR="00C45B03" w:rsidRPr="002B2EC6" w:rsidRDefault="00C45B03" w:rsidP="00EB7523">
      <w:pPr>
        <w:snapToGrid w:val="0"/>
        <w:spacing w:line="560" w:lineRule="exact"/>
        <w:jc w:val="center"/>
        <w:rPr>
          <w:rFonts w:eastAsia="方正仿宋简体"/>
          <w:sz w:val="32"/>
          <w:szCs w:val="32"/>
        </w:rPr>
      </w:pPr>
      <w:r w:rsidRPr="00EA5D06">
        <w:rPr>
          <w:rFonts w:eastAsia="方正仿宋简体" w:hint="eastAsia"/>
          <w:sz w:val="32"/>
          <w:szCs w:val="32"/>
        </w:rPr>
        <w:t>（</w:t>
      </w:r>
      <w:r w:rsidRPr="00EA5D06">
        <w:rPr>
          <w:rFonts w:eastAsia="方正仿宋简体" w:hint="eastAsia"/>
          <w:sz w:val="32"/>
          <w:szCs w:val="32"/>
        </w:rPr>
        <w:t>2019</w:t>
      </w:r>
      <w:r w:rsidRPr="00EA5D06">
        <w:rPr>
          <w:rFonts w:eastAsia="方正仿宋简体" w:hint="eastAsia"/>
          <w:sz w:val="32"/>
          <w:szCs w:val="32"/>
        </w:rPr>
        <w:t>年</w:t>
      </w:r>
      <w:r w:rsidRPr="00EA5D06">
        <w:rPr>
          <w:rFonts w:eastAsia="方正仿宋简体" w:hint="eastAsia"/>
          <w:sz w:val="32"/>
          <w:szCs w:val="32"/>
        </w:rPr>
        <w:t>1</w:t>
      </w:r>
      <w:r w:rsidRPr="00EA5D06">
        <w:rPr>
          <w:rFonts w:eastAsia="方正仿宋简体" w:hint="eastAsia"/>
          <w:sz w:val="32"/>
          <w:szCs w:val="32"/>
        </w:rPr>
        <w:t>月</w:t>
      </w:r>
      <w:r w:rsidRPr="00EA5D06">
        <w:rPr>
          <w:rFonts w:eastAsia="方正仿宋简体" w:hint="eastAsia"/>
          <w:sz w:val="32"/>
          <w:szCs w:val="32"/>
        </w:rPr>
        <w:t>2</w:t>
      </w:r>
      <w:r w:rsidRPr="00EA5D06">
        <w:rPr>
          <w:rFonts w:eastAsia="方正仿宋简体" w:hint="eastAsia"/>
          <w:sz w:val="32"/>
          <w:szCs w:val="32"/>
        </w:rPr>
        <w:t>日</w:t>
      </w:r>
      <w:r w:rsidRPr="00EA5D06">
        <w:rPr>
          <w:rFonts w:eastAsia="方正仿宋简体"/>
          <w:sz w:val="32"/>
          <w:szCs w:val="32"/>
        </w:rPr>
        <w:t>实施</w:t>
      </w:r>
      <w:r w:rsidRPr="00EA5D06">
        <w:rPr>
          <w:rFonts w:eastAsia="方正仿宋简体" w:hint="eastAsia"/>
          <w:sz w:val="32"/>
          <w:szCs w:val="32"/>
        </w:rPr>
        <w:t xml:space="preserve">  2020</w:t>
      </w:r>
      <w:r w:rsidRPr="00EA5D06">
        <w:rPr>
          <w:rFonts w:eastAsia="方正仿宋简体" w:hint="eastAsia"/>
          <w:sz w:val="32"/>
          <w:szCs w:val="32"/>
        </w:rPr>
        <w:t>年</w:t>
      </w:r>
      <w:r w:rsidR="00EB6501" w:rsidRPr="00EA5D06">
        <w:rPr>
          <w:rFonts w:eastAsia="方正仿宋简体"/>
          <w:sz w:val="32"/>
          <w:szCs w:val="32"/>
        </w:rPr>
        <w:t>3</w:t>
      </w:r>
      <w:r w:rsidRPr="00EA5D06">
        <w:rPr>
          <w:rFonts w:eastAsia="方正仿宋简体" w:hint="eastAsia"/>
          <w:sz w:val="32"/>
          <w:szCs w:val="32"/>
        </w:rPr>
        <w:t>月</w:t>
      </w:r>
      <w:r w:rsidR="00EB6501" w:rsidRPr="00EA5D06">
        <w:rPr>
          <w:rFonts w:eastAsia="方正仿宋简体"/>
          <w:sz w:val="32"/>
          <w:szCs w:val="32"/>
        </w:rPr>
        <w:t>1</w:t>
      </w:r>
      <w:r w:rsidRPr="00EA5D06">
        <w:rPr>
          <w:rFonts w:eastAsia="方正仿宋简体" w:hint="eastAsia"/>
          <w:sz w:val="32"/>
          <w:szCs w:val="32"/>
        </w:rPr>
        <w:t>日</w:t>
      </w:r>
      <w:r w:rsidRPr="00EA5D06">
        <w:rPr>
          <w:rFonts w:eastAsia="方正仿宋简体"/>
          <w:sz w:val="32"/>
          <w:szCs w:val="32"/>
        </w:rPr>
        <w:t>第一次修订</w:t>
      </w:r>
      <w:r w:rsidRPr="00EA5D06">
        <w:rPr>
          <w:rFonts w:eastAsia="方正仿宋简体" w:hint="eastAsia"/>
          <w:sz w:val="32"/>
          <w:szCs w:val="32"/>
        </w:rPr>
        <w:t>）</w:t>
      </w:r>
    </w:p>
    <w:p w:rsidR="00C45B03" w:rsidRDefault="00C45B03" w:rsidP="00EB7523">
      <w:pPr>
        <w:snapToGrid w:val="0"/>
        <w:spacing w:line="560" w:lineRule="exact"/>
        <w:jc w:val="center"/>
        <w:rPr>
          <w:rFonts w:eastAsia="方正仿宋简体"/>
          <w:b/>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C45B03" w:rsidRPr="00F16126" w:rsidRDefault="00C45B03" w:rsidP="00EB7523">
      <w:pPr>
        <w:snapToGrid w:val="0"/>
        <w:spacing w:line="560" w:lineRule="exact"/>
        <w:ind w:firstLineChars="200" w:firstLine="643"/>
        <w:rPr>
          <w:rFonts w:eastAsia="方正仿宋简体"/>
          <w:b/>
          <w:sz w:val="32"/>
          <w:szCs w:val="32"/>
        </w:rPr>
      </w:pP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b/>
          <w:sz w:val="32"/>
          <w:szCs w:val="32"/>
        </w:rPr>
        <w:t xml:space="preserve">  </w:t>
      </w:r>
      <w:r w:rsidRPr="00F16126">
        <w:rPr>
          <w:rFonts w:eastAsia="方正仿宋简体"/>
          <w:sz w:val="32"/>
          <w:szCs w:val="32"/>
        </w:rPr>
        <w:t>为规范中国金融期货交易所（以下简称交易所）国债期货合约</w:t>
      </w:r>
      <w:proofErr w:type="gramStart"/>
      <w:r w:rsidRPr="00F16126">
        <w:rPr>
          <w:rFonts w:eastAsia="方正仿宋简体"/>
          <w:sz w:val="32"/>
          <w:szCs w:val="32"/>
        </w:rPr>
        <w:t>期转现交易</w:t>
      </w:r>
      <w:proofErr w:type="gramEnd"/>
      <w:r w:rsidRPr="00F16126">
        <w:rPr>
          <w:rFonts w:eastAsia="方正仿宋简体"/>
          <w:sz w:val="32"/>
          <w:szCs w:val="32"/>
        </w:rPr>
        <w:t>行为，根据《中国金融期货交易所交易规则》及相关实施细则，制定本细则。</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b/>
          <w:sz w:val="32"/>
          <w:szCs w:val="32"/>
        </w:rPr>
        <w:t xml:space="preserve">  </w:t>
      </w:r>
      <w:r w:rsidRPr="00F16126">
        <w:rPr>
          <w:rFonts w:eastAsia="方正仿宋简体"/>
          <w:sz w:val="32"/>
          <w:szCs w:val="32"/>
        </w:rPr>
        <w:t>本细则未规定的，按照交易所相关业务规则的规定执行。</w:t>
      </w:r>
    </w:p>
    <w:p w:rsidR="00C45B03" w:rsidRPr="00F16126" w:rsidRDefault="00C45B03" w:rsidP="00EB7523">
      <w:pPr>
        <w:snapToGrid w:val="0"/>
        <w:spacing w:line="560" w:lineRule="exact"/>
        <w:ind w:firstLineChars="200" w:firstLine="640"/>
        <w:rPr>
          <w:rFonts w:eastAsia="方正仿宋简体"/>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第二章</w:t>
      </w:r>
      <w:r w:rsidRPr="00F16126">
        <w:rPr>
          <w:rFonts w:eastAsia="方正仿宋简体"/>
          <w:b/>
          <w:sz w:val="32"/>
          <w:szCs w:val="32"/>
        </w:rPr>
        <w:t xml:space="preserve"> </w:t>
      </w:r>
      <w:r w:rsidRPr="00F16126">
        <w:rPr>
          <w:rFonts w:eastAsia="方正仿宋简体"/>
          <w:b/>
          <w:sz w:val="32"/>
          <w:szCs w:val="32"/>
        </w:rPr>
        <w:t>交易参与人</w:t>
      </w:r>
    </w:p>
    <w:p w:rsidR="00C45B03" w:rsidRPr="00F16126" w:rsidRDefault="00C45B03" w:rsidP="00EB7523">
      <w:pPr>
        <w:snapToGrid w:val="0"/>
        <w:spacing w:line="560" w:lineRule="exact"/>
        <w:ind w:firstLineChars="200" w:firstLine="643"/>
        <w:rPr>
          <w:rFonts w:eastAsia="方正仿宋简体"/>
          <w:b/>
          <w:sz w:val="32"/>
          <w:szCs w:val="32"/>
        </w:rPr>
      </w:pP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b/>
          <w:sz w:val="32"/>
          <w:szCs w:val="32"/>
        </w:rPr>
        <w:t xml:space="preserve">  </w:t>
      </w:r>
      <w:r w:rsidRPr="00F16126">
        <w:rPr>
          <w:rFonts w:eastAsia="方正仿宋简体" w:hint="eastAsia"/>
          <w:sz w:val="32"/>
          <w:szCs w:val="32"/>
        </w:rPr>
        <w:t>非期货公司会员</w:t>
      </w:r>
      <w:r w:rsidRPr="00F16126">
        <w:rPr>
          <w:rFonts w:eastAsia="方正仿宋简体"/>
          <w:sz w:val="32"/>
          <w:szCs w:val="32"/>
        </w:rPr>
        <w:t>、客户进行期</w:t>
      </w:r>
      <w:proofErr w:type="gramStart"/>
      <w:r w:rsidRPr="00F16126">
        <w:rPr>
          <w:rFonts w:eastAsia="方正仿宋简体"/>
          <w:sz w:val="32"/>
          <w:szCs w:val="32"/>
        </w:rPr>
        <w:t>转现交易</w:t>
      </w:r>
      <w:proofErr w:type="gramEnd"/>
      <w:r w:rsidRPr="00F16126">
        <w:rPr>
          <w:rFonts w:eastAsia="方正仿宋简体"/>
          <w:sz w:val="32"/>
          <w:szCs w:val="32"/>
        </w:rPr>
        <w:t>应当符合下列条件：</w:t>
      </w:r>
    </w:p>
    <w:p w:rsidR="002D6F2C" w:rsidRDefault="00C45B03" w:rsidP="002D6F2C">
      <w:pPr>
        <w:snapToGrid w:val="0"/>
        <w:spacing w:line="560" w:lineRule="exact"/>
        <w:ind w:firstLineChars="200" w:firstLine="640"/>
        <w:rPr>
          <w:rFonts w:eastAsia="方正仿宋简体"/>
          <w:sz w:val="32"/>
          <w:szCs w:val="32"/>
        </w:rPr>
      </w:pPr>
      <w:r w:rsidRPr="00F16126">
        <w:rPr>
          <w:rFonts w:eastAsia="方正仿宋简体"/>
          <w:sz w:val="32"/>
          <w:szCs w:val="32"/>
        </w:rPr>
        <w:t>（一）证券公司、基金管理公司、信托公司、银行和其他金融机构，以及社会保障类公司、合格境外机构投</w:t>
      </w:r>
      <w:r w:rsidR="002D6F2C">
        <w:rPr>
          <w:rFonts w:eastAsia="方正仿宋简体"/>
          <w:sz w:val="32"/>
          <w:szCs w:val="32"/>
        </w:rPr>
        <w:t>资者等法律、行政法规和规章规定的需要资产分户管理的特殊单位客户</w:t>
      </w:r>
      <w:r w:rsidR="002D6F2C">
        <w:rPr>
          <w:rFonts w:eastAsia="方正仿宋简体" w:hint="eastAsia"/>
          <w:sz w:val="32"/>
          <w:szCs w:val="32"/>
        </w:rPr>
        <w:t>；</w:t>
      </w:r>
    </w:p>
    <w:p w:rsidR="00C45B03" w:rsidRPr="00F16126" w:rsidRDefault="00C45B03" w:rsidP="002D6F2C">
      <w:pPr>
        <w:snapToGrid w:val="0"/>
        <w:spacing w:line="560" w:lineRule="exact"/>
        <w:ind w:firstLineChars="200" w:firstLine="640"/>
        <w:rPr>
          <w:rFonts w:eastAsia="方正仿宋简体"/>
          <w:sz w:val="32"/>
          <w:szCs w:val="32"/>
        </w:rPr>
      </w:pPr>
      <w:r w:rsidRPr="00F16126">
        <w:rPr>
          <w:rFonts w:eastAsia="方正仿宋简体"/>
          <w:sz w:val="32"/>
          <w:szCs w:val="32"/>
        </w:rPr>
        <w:t>（二）可以参与交易所国债期货合约交易；</w:t>
      </w:r>
    </w:p>
    <w:p w:rsidR="002D6F2C" w:rsidRDefault="00C45B03" w:rsidP="002D6F2C">
      <w:pPr>
        <w:snapToGrid w:val="0"/>
        <w:spacing w:line="560" w:lineRule="exact"/>
        <w:ind w:firstLineChars="200" w:firstLine="640"/>
        <w:rPr>
          <w:rFonts w:eastAsia="方正仿宋简体"/>
          <w:sz w:val="32"/>
          <w:szCs w:val="32"/>
        </w:rPr>
      </w:pPr>
      <w:r w:rsidRPr="00F16126">
        <w:rPr>
          <w:rFonts w:eastAsia="方正仿宋简体"/>
          <w:sz w:val="32"/>
          <w:szCs w:val="32"/>
        </w:rPr>
        <w:t>（三）在中央国债登记结算有限责任公司开立债券账户或</w:t>
      </w:r>
      <w:r w:rsidRPr="00F16126">
        <w:rPr>
          <w:rFonts w:eastAsia="方正仿宋简体"/>
          <w:sz w:val="32"/>
          <w:szCs w:val="32"/>
        </w:rPr>
        <w:lastRenderedPageBreak/>
        <w:t>者</w:t>
      </w:r>
      <w:r w:rsidRPr="00F16126">
        <w:rPr>
          <w:rFonts w:eastAsia="方正仿宋简体"/>
          <w:iCs/>
          <w:sz w:val="32"/>
          <w:szCs w:val="32"/>
        </w:rPr>
        <w:t>中国</w:t>
      </w:r>
      <w:r w:rsidRPr="00F16126">
        <w:rPr>
          <w:rFonts w:eastAsia="方正仿宋简体"/>
          <w:sz w:val="32"/>
          <w:szCs w:val="32"/>
        </w:rPr>
        <w:t>证券登记</w:t>
      </w:r>
      <w:r w:rsidRPr="00F16126">
        <w:rPr>
          <w:rFonts w:eastAsia="方正仿宋简体"/>
          <w:iCs/>
          <w:sz w:val="32"/>
          <w:szCs w:val="32"/>
        </w:rPr>
        <w:t>结算有限公司</w:t>
      </w:r>
      <w:r w:rsidRPr="00F16126">
        <w:rPr>
          <w:rFonts w:eastAsia="方正仿宋简体"/>
          <w:sz w:val="32"/>
          <w:szCs w:val="32"/>
        </w:rPr>
        <w:t>开立证券账户；</w:t>
      </w:r>
    </w:p>
    <w:p w:rsidR="00C45B03" w:rsidRPr="00F16126" w:rsidRDefault="00C45B03" w:rsidP="002D6F2C">
      <w:pPr>
        <w:snapToGrid w:val="0"/>
        <w:spacing w:line="560" w:lineRule="exact"/>
        <w:ind w:firstLineChars="200" w:firstLine="640"/>
        <w:rPr>
          <w:rFonts w:eastAsia="方正仿宋简体"/>
          <w:sz w:val="32"/>
          <w:szCs w:val="32"/>
        </w:rPr>
      </w:pPr>
      <w:r w:rsidRPr="00F16126">
        <w:rPr>
          <w:rFonts w:eastAsia="方正仿宋简体"/>
          <w:sz w:val="32"/>
          <w:szCs w:val="32"/>
        </w:rPr>
        <w:t>（四）交易所规定的其他条件。</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sz w:val="32"/>
          <w:szCs w:val="32"/>
        </w:rPr>
        <w:t xml:space="preserve">  </w:t>
      </w:r>
      <w:r w:rsidRPr="00F16126">
        <w:rPr>
          <w:rFonts w:eastAsia="方正仿宋简体"/>
          <w:sz w:val="32"/>
          <w:szCs w:val="32"/>
        </w:rPr>
        <w:t>符合交易所规定的客户所在</w:t>
      </w:r>
      <w:r w:rsidRPr="00F16126">
        <w:rPr>
          <w:rFonts w:eastAsia="方正仿宋简体"/>
          <w:kern w:val="0"/>
          <w:sz w:val="32"/>
          <w:szCs w:val="32"/>
        </w:rPr>
        <w:t>金融机构或其管理机构应当通过</w:t>
      </w:r>
      <w:r w:rsidRPr="00F16126">
        <w:rPr>
          <w:rFonts w:eastAsia="方正仿宋简体" w:hint="eastAsia"/>
          <w:kern w:val="0"/>
          <w:sz w:val="32"/>
          <w:szCs w:val="32"/>
        </w:rPr>
        <w:t>符合条件</w:t>
      </w:r>
      <w:r w:rsidRPr="00F16126">
        <w:rPr>
          <w:rFonts w:eastAsia="方正仿宋简体"/>
          <w:kern w:val="0"/>
          <w:sz w:val="32"/>
          <w:szCs w:val="32"/>
        </w:rPr>
        <w:t>的结算会员向交易所进行备案</w:t>
      </w:r>
      <w:r w:rsidRPr="00F16126">
        <w:rPr>
          <w:rFonts w:eastAsia="方正仿宋简体" w:hint="eastAsia"/>
          <w:kern w:val="0"/>
          <w:sz w:val="32"/>
          <w:szCs w:val="32"/>
        </w:rPr>
        <w:t>后</w:t>
      </w:r>
      <w:r w:rsidRPr="00F16126">
        <w:rPr>
          <w:rFonts w:eastAsia="方正仿宋简体"/>
          <w:kern w:val="0"/>
          <w:sz w:val="32"/>
          <w:szCs w:val="32"/>
        </w:rPr>
        <w:t>参与</w:t>
      </w:r>
      <w:proofErr w:type="gramStart"/>
      <w:r w:rsidRPr="00F16126">
        <w:rPr>
          <w:rFonts w:eastAsia="方正仿宋简体"/>
          <w:kern w:val="0"/>
          <w:sz w:val="32"/>
          <w:szCs w:val="32"/>
        </w:rPr>
        <w:t>期转现交易</w:t>
      </w:r>
      <w:proofErr w:type="gramEnd"/>
      <w:r w:rsidRPr="00F16126">
        <w:rPr>
          <w:rFonts w:eastAsia="方正仿宋简体"/>
          <w:kern w:val="0"/>
          <w:sz w:val="32"/>
          <w:szCs w:val="32"/>
        </w:rPr>
        <w:t>。</w:t>
      </w:r>
      <w:r w:rsidRPr="00F16126">
        <w:rPr>
          <w:rFonts w:eastAsia="方正仿宋简体"/>
          <w:sz w:val="32"/>
          <w:szCs w:val="32"/>
        </w:rPr>
        <w:t>申请备案应当提供下列材料：</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（一）国债期货</w:t>
      </w:r>
      <w:proofErr w:type="gramStart"/>
      <w:r w:rsidRPr="00F16126">
        <w:rPr>
          <w:rFonts w:eastAsia="方正仿宋简体"/>
          <w:sz w:val="32"/>
          <w:szCs w:val="32"/>
        </w:rPr>
        <w:t>期转现交易</w:t>
      </w:r>
      <w:proofErr w:type="gramEnd"/>
      <w:r w:rsidRPr="00F16126">
        <w:rPr>
          <w:rFonts w:eastAsia="方正仿宋简体"/>
          <w:sz w:val="32"/>
          <w:szCs w:val="32"/>
        </w:rPr>
        <w:t>业务备案申请书；</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（二）</w:t>
      </w:r>
      <w:r w:rsidRPr="00F16126">
        <w:rPr>
          <w:rFonts w:eastAsia="方正仿宋简体" w:hint="eastAsia"/>
          <w:sz w:val="32"/>
          <w:szCs w:val="32"/>
        </w:rPr>
        <w:t>结算</w:t>
      </w:r>
      <w:r w:rsidRPr="00F16126">
        <w:rPr>
          <w:rFonts w:eastAsia="方正仿宋简体"/>
          <w:sz w:val="32"/>
          <w:szCs w:val="32"/>
        </w:rPr>
        <w:t>会员提供</w:t>
      </w:r>
      <w:proofErr w:type="gramStart"/>
      <w:r w:rsidRPr="00F16126">
        <w:rPr>
          <w:rFonts w:eastAsia="方正仿宋简体"/>
          <w:sz w:val="32"/>
          <w:szCs w:val="32"/>
        </w:rPr>
        <w:t>期转现交易</w:t>
      </w:r>
      <w:proofErr w:type="gramEnd"/>
      <w:r w:rsidRPr="00F16126">
        <w:rPr>
          <w:rFonts w:eastAsia="方正仿宋简体"/>
          <w:sz w:val="32"/>
          <w:szCs w:val="32"/>
        </w:rPr>
        <w:t>服务承诺书或者包含</w:t>
      </w:r>
      <w:proofErr w:type="gramStart"/>
      <w:r w:rsidRPr="00F16126">
        <w:rPr>
          <w:rFonts w:eastAsia="方正仿宋简体"/>
          <w:sz w:val="32"/>
          <w:szCs w:val="32"/>
        </w:rPr>
        <w:t>期转现交易</w:t>
      </w:r>
      <w:proofErr w:type="gramEnd"/>
      <w:r w:rsidRPr="00F16126">
        <w:rPr>
          <w:rFonts w:eastAsia="方正仿宋简体"/>
          <w:sz w:val="32"/>
          <w:szCs w:val="32"/>
        </w:rPr>
        <w:t>服务承诺的经纪服务合同；</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（三）交易所要求提供的其他文件或者材料。</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hint="eastAsia"/>
          <w:sz w:val="32"/>
          <w:szCs w:val="32"/>
        </w:rPr>
        <w:t>结算</w:t>
      </w:r>
      <w:r w:rsidRPr="00F16126">
        <w:rPr>
          <w:rFonts w:eastAsia="方正仿宋简体"/>
          <w:sz w:val="32"/>
          <w:szCs w:val="32"/>
        </w:rPr>
        <w:t>会员应当尽职审核备案材料，确保材料内容的真实、准确和完整。</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hint="eastAsia"/>
          <w:sz w:val="32"/>
          <w:szCs w:val="32"/>
        </w:rPr>
        <w:t>非期货公司会员直接向交易所备案后参与</w:t>
      </w:r>
      <w:proofErr w:type="gramStart"/>
      <w:r w:rsidRPr="00F16126">
        <w:rPr>
          <w:rFonts w:eastAsia="方正仿宋简体" w:hint="eastAsia"/>
          <w:sz w:val="32"/>
          <w:szCs w:val="32"/>
        </w:rPr>
        <w:t>期转现交易</w:t>
      </w:r>
      <w:proofErr w:type="gramEnd"/>
      <w:r w:rsidRPr="00F16126">
        <w:rPr>
          <w:rFonts w:eastAsia="方正仿宋简体" w:hint="eastAsia"/>
          <w:sz w:val="32"/>
          <w:szCs w:val="32"/>
        </w:rPr>
        <w:t>。申请备案应当提供本条第一款第（一）项和第（三）项规定的材料。</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sz w:val="32"/>
          <w:szCs w:val="32"/>
        </w:rPr>
        <w:t xml:space="preserve">  </w:t>
      </w:r>
      <w:r w:rsidRPr="00F16126">
        <w:rPr>
          <w:rFonts w:eastAsia="方正仿宋简体"/>
          <w:sz w:val="32"/>
          <w:szCs w:val="32"/>
        </w:rPr>
        <w:t>交易所在收到符合规定的备案申请材料之日起</w:t>
      </w:r>
      <w:r w:rsidRPr="00F16126">
        <w:rPr>
          <w:rFonts w:eastAsia="方正仿宋简体"/>
          <w:sz w:val="32"/>
          <w:szCs w:val="32"/>
        </w:rPr>
        <w:t>5</w:t>
      </w:r>
      <w:r w:rsidRPr="00F16126">
        <w:rPr>
          <w:rFonts w:eastAsia="方正仿宋简体"/>
          <w:sz w:val="32"/>
          <w:szCs w:val="32"/>
        </w:rPr>
        <w:t>个交易日内予以备案，并通知</w:t>
      </w:r>
      <w:r w:rsidRPr="00F16126">
        <w:rPr>
          <w:rFonts w:eastAsia="方正仿宋简体" w:hint="eastAsia"/>
          <w:sz w:val="32"/>
          <w:szCs w:val="32"/>
        </w:rPr>
        <w:t>结算</w:t>
      </w:r>
      <w:r w:rsidRPr="00F16126">
        <w:rPr>
          <w:rFonts w:eastAsia="方正仿宋简体"/>
          <w:sz w:val="32"/>
          <w:szCs w:val="32"/>
        </w:rPr>
        <w:t>会员。</w:t>
      </w:r>
    </w:p>
    <w:p w:rsidR="00C45B03" w:rsidRPr="00F16126" w:rsidRDefault="00C45B03" w:rsidP="00EB7523">
      <w:pPr>
        <w:snapToGrid w:val="0"/>
        <w:spacing w:line="560" w:lineRule="exact"/>
        <w:ind w:firstLineChars="200" w:firstLine="640"/>
        <w:rPr>
          <w:rFonts w:eastAsia="方正仿宋简体"/>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交易</w:t>
      </w:r>
    </w:p>
    <w:p w:rsidR="00C45B03" w:rsidRPr="00F16126" w:rsidRDefault="00C45B03" w:rsidP="00EB7523">
      <w:pPr>
        <w:snapToGrid w:val="0"/>
        <w:spacing w:line="560" w:lineRule="exact"/>
        <w:ind w:firstLineChars="200" w:firstLine="643"/>
        <w:rPr>
          <w:rFonts w:eastAsia="方正仿宋简体"/>
          <w:b/>
          <w:sz w:val="32"/>
          <w:szCs w:val="32"/>
        </w:rPr>
      </w:pP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b/>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申报应当包括下列信息：</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（一）交易时间信息：</w:t>
      </w:r>
      <w:proofErr w:type="gramStart"/>
      <w:r w:rsidRPr="00F16126">
        <w:rPr>
          <w:rFonts w:eastAsia="方正仿宋简体"/>
          <w:sz w:val="32"/>
          <w:szCs w:val="32"/>
        </w:rPr>
        <w:t>期转现交易</w:t>
      </w:r>
      <w:proofErr w:type="gramEnd"/>
      <w:r w:rsidRPr="00F16126">
        <w:rPr>
          <w:rFonts w:eastAsia="方正仿宋简体"/>
          <w:sz w:val="32"/>
          <w:szCs w:val="32"/>
        </w:rPr>
        <w:t>协商一致日期、</w:t>
      </w:r>
      <w:proofErr w:type="gramStart"/>
      <w:r w:rsidRPr="00F16126">
        <w:rPr>
          <w:rFonts w:eastAsia="方正仿宋简体"/>
          <w:sz w:val="32"/>
          <w:szCs w:val="32"/>
        </w:rPr>
        <w:t>期转现交易</w:t>
      </w:r>
      <w:proofErr w:type="gramEnd"/>
      <w:r w:rsidRPr="00F16126">
        <w:rPr>
          <w:rFonts w:eastAsia="方正仿宋简体"/>
          <w:sz w:val="32"/>
          <w:szCs w:val="32"/>
        </w:rPr>
        <w:t>协商一致时间等；</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（二）交易双方信息：期货合约卖方</w:t>
      </w:r>
      <w:r w:rsidRPr="00F16126">
        <w:rPr>
          <w:rFonts w:eastAsia="方正仿宋简体" w:hint="eastAsia"/>
          <w:sz w:val="32"/>
          <w:szCs w:val="32"/>
        </w:rPr>
        <w:t>结算</w:t>
      </w:r>
      <w:r w:rsidRPr="00F16126">
        <w:rPr>
          <w:rFonts w:eastAsia="方正仿宋简体"/>
          <w:sz w:val="32"/>
          <w:szCs w:val="32"/>
        </w:rPr>
        <w:t>会员、卖方客户、卖方交易员和期货合约买方</w:t>
      </w:r>
      <w:r w:rsidRPr="00F16126">
        <w:rPr>
          <w:rFonts w:eastAsia="方正仿宋简体" w:hint="eastAsia"/>
          <w:sz w:val="32"/>
          <w:szCs w:val="32"/>
        </w:rPr>
        <w:t>结算</w:t>
      </w:r>
      <w:r w:rsidRPr="00F16126">
        <w:rPr>
          <w:rFonts w:eastAsia="方正仿宋简体"/>
          <w:sz w:val="32"/>
          <w:szCs w:val="32"/>
        </w:rPr>
        <w:t>会员、买方客户、买方交易员等；</w:t>
      </w:r>
      <w:r w:rsidRPr="00F16126">
        <w:rPr>
          <w:rFonts w:eastAsia="方正仿宋简体"/>
          <w:sz w:val="32"/>
          <w:szCs w:val="32"/>
        </w:rPr>
        <w:t xml:space="preserve"> </w:t>
      </w:r>
    </w:p>
    <w:p w:rsidR="00C45B03" w:rsidRPr="00F16126" w:rsidRDefault="00C45B03" w:rsidP="00EB7523">
      <w:pPr>
        <w:snapToGrid w:val="0"/>
        <w:spacing w:line="560" w:lineRule="exact"/>
        <w:ind w:firstLineChars="200" w:firstLine="640"/>
        <w:rPr>
          <w:rFonts w:eastAsia="方正仿宋简体"/>
          <w:sz w:val="32"/>
          <w:szCs w:val="32"/>
          <w:highlight w:val="yellow"/>
        </w:rPr>
      </w:pPr>
      <w:r w:rsidRPr="00F16126">
        <w:rPr>
          <w:rFonts w:eastAsia="方正仿宋简体"/>
          <w:sz w:val="32"/>
          <w:szCs w:val="32"/>
        </w:rPr>
        <w:t>（三）期货合约交易信息：合约代码、成交价格、买卖方向、数量等；</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（四）有价证券或</w:t>
      </w:r>
      <w:r w:rsidRPr="00F16126">
        <w:rPr>
          <w:rFonts w:eastAsia="方正仿宋简体" w:hint="eastAsia"/>
          <w:sz w:val="32"/>
          <w:szCs w:val="32"/>
        </w:rPr>
        <w:t>者</w:t>
      </w:r>
      <w:r w:rsidRPr="00F16126">
        <w:rPr>
          <w:rFonts w:eastAsia="方正仿宋简体"/>
          <w:sz w:val="32"/>
          <w:szCs w:val="32"/>
        </w:rPr>
        <w:t>相关合约交易信息：有价证券或者相关合约交易场所名称、成交编号、有价证券</w:t>
      </w:r>
      <w:r w:rsidRPr="00F16126">
        <w:rPr>
          <w:rFonts w:eastAsia="方正仿宋简体" w:hint="eastAsia"/>
          <w:sz w:val="32"/>
          <w:szCs w:val="32"/>
        </w:rPr>
        <w:t>名称</w:t>
      </w:r>
      <w:r w:rsidRPr="00F16126">
        <w:rPr>
          <w:rFonts w:eastAsia="方正仿宋简体"/>
          <w:sz w:val="32"/>
          <w:szCs w:val="32"/>
        </w:rPr>
        <w:t>或者相关合约标的有价证券名称、有价证券代码或者相关合约标的有价证券代码、成交日期、买卖方向、券面总额、有价证券成交净价或者相关合约成交价格、相关合约结算日期等。</w:t>
      </w:r>
    </w:p>
    <w:p w:rsidR="00C45B03" w:rsidRPr="00F16126" w:rsidRDefault="00C45B03" w:rsidP="00EB7523">
      <w:pPr>
        <w:adjustRightInd w:val="0"/>
        <w:snapToGrid w:val="0"/>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b/>
          <w:sz w:val="32"/>
          <w:szCs w:val="32"/>
        </w:rPr>
        <w:t xml:space="preserve">  </w:t>
      </w:r>
      <w:r w:rsidRPr="00F16126">
        <w:rPr>
          <w:rFonts w:eastAsia="方正仿宋简体"/>
          <w:sz w:val="32"/>
          <w:szCs w:val="32"/>
        </w:rPr>
        <w:t>国债期货</w:t>
      </w:r>
      <w:proofErr w:type="gramStart"/>
      <w:r w:rsidRPr="00F16126">
        <w:rPr>
          <w:rFonts w:eastAsia="方正仿宋简体"/>
          <w:sz w:val="32"/>
          <w:szCs w:val="32"/>
        </w:rPr>
        <w:t>期转现交易</w:t>
      </w:r>
      <w:proofErr w:type="gramEnd"/>
      <w:r w:rsidRPr="00F16126">
        <w:rPr>
          <w:rFonts w:eastAsia="方正仿宋简体"/>
          <w:sz w:val="32"/>
          <w:szCs w:val="32"/>
        </w:rPr>
        <w:t>中的有价证券或者其他相关合约包括：</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（一）财政部发行的记账式附息固定利率国债；</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（二）地方政府发行的附息固定利率地方政府债券；</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（三）国家开发银行、中国进出口银行或者中国农业发展银行发行的附息固定利率金融债券；</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（四）以上述债券为标的资产的债券远期交易；</w:t>
      </w:r>
    </w:p>
    <w:p w:rsidR="00C45B03" w:rsidRPr="00F16126" w:rsidRDefault="00C45B03" w:rsidP="00EB7523">
      <w:pPr>
        <w:adjustRightInd w:val="0"/>
        <w:snapToGrid w:val="0"/>
        <w:spacing w:line="560" w:lineRule="exact"/>
        <w:ind w:firstLineChars="200" w:firstLine="640"/>
        <w:rPr>
          <w:rFonts w:eastAsia="方正仿宋简体"/>
          <w:sz w:val="32"/>
          <w:szCs w:val="32"/>
        </w:rPr>
      </w:pPr>
      <w:r w:rsidRPr="00F16126">
        <w:rPr>
          <w:rFonts w:eastAsia="方正仿宋简体"/>
          <w:sz w:val="32"/>
          <w:szCs w:val="32"/>
        </w:rPr>
        <w:t>（五）交易所规定的其他有价证券或者相关合约。</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sz w:val="32"/>
          <w:szCs w:val="32"/>
        </w:rPr>
        <w:t xml:space="preserve">  </w:t>
      </w:r>
      <w:r w:rsidRPr="00F16126">
        <w:rPr>
          <w:rFonts w:eastAsia="方正仿宋简体"/>
          <w:sz w:val="32"/>
          <w:szCs w:val="32"/>
        </w:rPr>
        <w:t>以债券远期交易作为国债</w:t>
      </w:r>
      <w:r w:rsidRPr="00F16126">
        <w:rPr>
          <w:rFonts w:eastAsia="方正仿宋简体" w:hint="eastAsia"/>
          <w:sz w:val="32"/>
          <w:szCs w:val="32"/>
        </w:rPr>
        <w:t>期货</w:t>
      </w:r>
      <w:proofErr w:type="gramStart"/>
      <w:r w:rsidRPr="00F16126">
        <w:rPr>
          <w:rFonts w:eastAsia="方正仿宋简体"/>
          <w:sz w:val="32"/>
          <w:szCs w:val="32"/>
        </w:rPr>
        <w:t>期转现交易</w:t>
      </w:r>
      <w:proofErr w:type="gramEnd"/>
      <w:r w:rsidRPr="00F16126">
        <w:rPr>
          <w:rFonts w:eastAsia="方正仿宋简体"/>
          <w:sz w:val="32"/>
          <w:szCs w:val="32"/>
        </w:rPr>
        <w:t>的有价证券或者其他相关合约的，债券远期交易的结算日期不得晚于</w:t>
      </w:r>
      <w:proofErr w:type="gramStart"/>
      <w:r w:rsidRPr="00F16126">
        <w:rPr>
          <w:rFonts w:eastAsia="方正仿宋简体"/>
          <w:sz w:val="32"/>
          <w:szCs w:val="32"/>
        </w:rPr>
        <w:t>期转现交易</w:t>
      </w:r>
      <w:proofErr w:type="gramEnd"/>
      <w:r w:rsidRPr="00F16126">
        <w:rPr>
          <w:rFonts w:eastAsia="方正仿宋简体"/>
          <w:sz w:val="32"/>
          <w:szCs w:val="32"/>
        </w:rPr>
        <w:t>中国债期货合约的最后交易日。</w:t>
      </w:r>
    </w:p>
    <w:p w:rsidR="00C45B03" w:rsidRPr="00F16126" w:rsidRDefault="00C45B03" w:rsidP="00EB7523">
      <w:pPr>
        <w:widowControl/>
        <w:adjustRightInd w:val="0"/>
        <w:snapToGrid w:val="0"/>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b/>
          <w:sz w:val="32"/>
          <w:szCs w:val="32"/>
        </w:rPr>
        <w:t xml:space="preserve">  </w:t>
      </w:r>
      <w:r w:rsidRPr="00F16126">
        <w:rPr>
          <w:rFonts w:eastAsia="方正仿宋简体"/>
          <w:sz w:val="32"/>
          <w:szCs w:val="32"/>
        </w:rPr>
        <w:t>国债期货</w:t>
      </w:r>
      <w:proofErr w:type="gramStart"/>
      <w:r w:rsidRPr="00F16126">
        <w:rPr>
          <w:rFonts w:eastAsia="方正仿宋简体"/>
          <w:sz w:val="32"/>
          <w:szCs w:val="32"/>
        </w:rPr>
        <w:t>期转现交易</w:t>
      </w:r>
      <w:proofErr w:type="gramEnd"/>
      <w:r w:rsidRPr="00F16126">
        <w:rPr>
          <w:rFonts w:eastAsia="方正仿宋简体"/>
          <w:sz w:val="32"/>
          <w:szCs w:val="32"/>
        </w:rPr>
        <w:t>可以包含一笔（含）以上有价证券或者其他相关合约交易。</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b/>
          <w:sz w:val="32"/>
          <w:szCs w:val="32"/>
        </w:rPr>
        <w:t xml:space="preserve">  </w:t>
      </w:r>
      <w:r w:rsidRPr="00F16126">
        <w:rPr>
          <w:rFonts w:eastAsia="方正仿宋简体"/>
          <w:sz w:val="32"/>
          <w:szCs w:val="32"/>
        </w:rPr>
        <w:t>国债期货</w:t>
      </w:r>
      <w:proofErr w:type="gramStart"/>
      <w:r w:rsidRPr="00F16126">
        <w:rPr>
          <w:rFonts w:eastAsia="方正仿宋简体"/>
          <w:sz w:val="32"/>
          <w:szCs w:val="32"/>
        </w:rPr>
        <w:t>期转现交易</w:t>
      </w:r>
      <w:proofErr w:type="gramEnd"/>
      <w:r w:rsidRPr="00F16126">
        <w:rPr>
          <w:rFonts w:eastAsia="方正仿宋简体"/>
          <w:sz w:val="32"/>
          <w:szCs w:val="32"/>
        </w:rPr>
        <w:t>的期货合约成交价格由交易双方协商确定，但应当在交易所确认当日该期货合约涨跌停板价格范围内，并且与</w:t>
      </w:r>
      <w:proofErr w:type="gramStart"/>
      <w:r w:rsidRPr="00F16126">
        <w:rPr>
          <w:rFonts w:eastAsia="方正仿宋简体"/>
          <w:sz w:val="32"/>
          <w:szCs w:val="32"/>
        </w:rPr>
        <w:t>期转现交易</w:t>
      </w:r>
      <w:proofErr w:type="gramEnd"/>
      <w:r w:rsidRPr="00F16126">
        <w:rPr>
          <w:rFonts w:eastAsia="方正仿宋简体"/>
          <w:sz w:val="32"/>
          <w:szCs w:val="32"/>
        </w:rPr>
        <w:t>协商一致时间该期货合约最新价的偏离不得超过合理范围。</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sz w:val="32"/>
          <w:szCs w:val="32"/>
        </w:rPr>
        <w:t xml:space="preserve">  </w:t>
      </w:r>
      <w:r w:rsidRPr="00F16126">
        <w:rPr>
          <w:rFonts w:eastAsia="方正仿宋简体"/>
          <w:sz w:val="32"/>
          <w:szCs w:val="32"/>
        </w:rPr>
        <w:t>国债期货</w:t>
      </w:r>
      <w:proofErr w:type="gramStart"/>
      <w:r w:rsidRPr="00F16126">
        <w:rPr>
          <w:rFonts w:eastAsia="方正仿宋简体"/>
          <w:sz w:val="32"/>
          <w:szCs w:val="32"/>
        </w:rPr>
        <w:t>期转现交易</w:t>
      </w:r>
      <w:proofErr w:type="gramEnd"/>
      <w:r w:rsidRPr="00F16126">
        <w:rPr>
          <w:rFonts w:eastAsia="方正仿宋简体"/>
          <w:sz w:val="32"/>
          <w:szCs w:val="32"/>
        </w:rPr>
        <w:t>的有价证券或者其他相关合约的基点价值绝对值应当与国债期货合约的基点价值绝对值数值相当。</w:t>
      </w:r>
    </w:p>
    <w:p w:rsidR="00C45B03" w:rsidRPr="00F16126" w:rsidRDefault="00C45B03" w:rsidP="00EB7523">
      <w:pPr>
        <w:snapToGrid w:val="0"/>
        <w:spacing w:line="560" w:lineRule="exact"/>
        <w:ind w:firstLineChars="200" w:firstLine="640"/>
        <w:rPr>
          <w:rFonts w:eastAsia="方正仿宋简体"/>
          <w:sz w:val="32"/>
          <w:szCs w:val="32"/>
        </w:rPr>
      </w:pPr>
      <w:r w:rsidRPr="00F16126">
        <w:rPr>
          <w:rFonts w:eastAsia="方正仿宋简体"/>
          <w:sz w:val="32"/>
          <w:szCs w:val="32"/>
        </w:rPr>
        <w:t>以可交割国债作为国债期货</w:t>
      </w:r>
      <w:proofErr w:type="gramStart"/>
      <w:r w:rsidRPr="00F16126">
        <w:rPr>
          <w:rFonts w:eastAsia="方正仿宋简体"/>
          <w:sz w:val="32"/>
          <w:szCs w:val="32"/>
        </w:rPr>
        <w:t>期转现交易</w:t>
      </w:r>
      <w:proofErr w:type="gramEnd"/>
      <w:r w:rsidRPr="00F16126">
        <w:rPr>
          <w:rFonts w:eastAsia="方正仿宋简体"/>
          <w:sz w:val="32"/>
          <w:szCs w:val="32"/>
        </w:rPr>
        <w:t>的有价证券，且可交割国债面值和期货合约面值相等的，可以不受前款基点价值要求限制。</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sz w:val="32"/>
          <w:szCs w:val="32"/>
        </w:rPr>
        <w:t xml:space="preserve">  </w:t>
      </w:r>
      <w:r w:rsidRPr="00F16126">
        <w:rPr>
          <w:rFonts w:eastAsia="方正仿宋简体"/>
          <w:sz w:val="32"/>
          <w:szCs w:val="32"/>
        </w:rPr>
        <w:t>证券公司资产管理计划、基金管理公司资产管理计划、经基金业协会备案的私募投资基金等非法</w:t>
      </w:r>
      <w:proofErr w:type="gramStart"/>
      <w:r w:rsidRPr="00F16126">
        <w:rPr>
          <w:rFonts w:eastAsia="方正仿宋简体"/>
          <w:sz w:val="32"/>
          <w:szCs w:val="32"/>
        </w:rPr>
        <w:t>人客户</w:t>
      </w:r>
      <w:proofErr w:type="gramEnd"/>
      <w:r w:rsidRPr="00F16126">
        <w:rPr>
          <w:rFonts w:eastAsia="方正仿宋简体"/>
          <w:sz w:val="32"/>
          <w:szCs w:val="32"/>
        </w:rPr>
        <w:t>之间不得直接进行期</w:t>
      </w:r>
      <w:proofErr w:type="gramStart"/>
      <w:r w:rsidRPr="00F16126">
        <w:rPr>
          <w:rFonts w:eastAsia="方正仿宋简体"/>
          <w:sz w:val="32"/>
          <w:szCs w:val="32"/>
        </w:rPr>
        <w:t>转现交易</w:t>
      </w:r>
      <w:proofErr w:type="gramEnd"/>
      <w:r w:rsidRPr="00F16126">
        <w:rPr>
          <w:rFonts w:eastAsia="方正仿宋简体"/>
          <w:sz w:val="32"/>
          <w:szCs w:val="32"/>
        </w:rPr>
        <w:t>。</w:t>
      </w:r>
    </w:p>
    <w:p w:rsidR="00C45B03" w:rsidRPr="00F16126" w:rsidRDefault="00C45B03" w:rsidP="00EB7523">
      <w:pPr>
        <w:snapToGrid w:val="0"/>
        <w:spacing w:line="560" w:lineRule="exact"/>
        <w:ind w:firstLineChars="200" w:firstLine="640"/>
        <w:rPr>
          <w:rFonts w:eastAsia="方正仿宋简体"/>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交易申报和确认</w:t>
      </w:r>
    </w:p>
    <w:p w:rsidR="00C45B03" w:rsidRPr="00F16126" w:rsidRDefault="00C45B03" w:rsidP="00EB7523">
      <w:pPr>
        <w:widowControl/>
        <w:snapToGrid w:val="0"/>
        <w:spacing w:line="560" w:lineRule="exact"/>
        <w:ind w:firstLine="643"/>
        <w:rPr>
          <w:rFonts w:eastAsia="方正仿宋简体"/>
          <w:b/>
          <w:sz w:val="32"/>
          <w:szCs w:val="32"/>
        </w:rPr>
      </w:pPr>
    </w:p>
    <w:p w:rsidR="00C45B03" w:rsidRPr="00F16126" w:rsidRDefault="00C45B03" w:rsidP="00EB7523">
      <w:pPr>
        <w:widowControl/>
        <w:snapToGrid w:val="0"/>
        <w:spacing w:line="560" w:lineRule="exact"/>
        <w:ind w:firstLine="643"/>
        <w:rPr>
          <w:rFonts w:eastAsia="方正仿宋简体"/>
          <w:noProof/>
          <w:kern w:val="0"/>
          <w:sz w:val="32"/>
          <w:szCs w:val="32"/>
        </w:rPr>
      </w:pPr>
      <w:r w:rsidRPr="00F16126">
        <w:rPr>
          <w:rFonts w:eastAsia="方正仿宋简体"/>
          <w:b/>
          <w:sz w:val="32"/>
          <w:szCs w:val="32"/>
        </w:rPr>
        <w:t>第十三条</w:t>
      </w:r>
      <w:r w:rsidRPr="00F16126">
        <w:rPr>
          <w:rFonts w:eastAsia="方正仿宋简体"/>
          <w:b/>
          <w:sz w:val="32"/>
          <w:szCs w:val="32"/>
        </w:rPr>
        <w:t xml:space="preserve">  </w:t>
      </w:r>
      <w:r w:rsidRPr="00F16126">
        <w:rPr>
          <w:rFonts w:eastAsia="方正仿宋简体"/>
          <w:sz w:val="32"/>
          <w:szCs w:val="32"/>
        </w:rPr>
        <w:t>交易双方达成</w:t>
      </w:r>
      <w:proofErr w:type="gramStart"/>
      <w:r w:rsidRPr="00F16126">
        <w:rPr>
          <w:rFonts w:eastAsia="方正仿宋简体"/>
          <w:sz w:val="32"/>
          <w:szCs w:val="32"/>
        </w:rPr>
        <w:t>期转现交易</w:t>
      </w:r>
      <w:proofErr w:type="gramEnd"/>
      <w:r w:rsidRPr="00F16126">
        <w:rPr>
          <w:rFonts w:eastAsia="方正仿宋简体"/>
          <w:sz w:val="32"/>
          <w:szCs w:val="32"/>
        </w:rPr>
        <w:t>后，应当及时通过双方</w:t>
      </w:r>
      <w:r w:rsidRPr="00F16126">
        <w:rPr>
          <w:rFonts w:eastAsia="方正仿宋简体" w:hint="eastAsia"/>
          <w:sz w:val="32"/>
          <w:szCs w:val="32"/>
        </w:rPr>
        <w:t>结算</w:t>
      </w:r>
      <w:r w:rsidRPr="00F16126">
        <w:rPr>
          <w:rFonts w:eastAsia="方正仿宋简体"/>
          <w:sz w:val="32"/>
          <w:szCs w:val="32"/>
        </w:rPr>
        <w:t>会员向交易所申报。国债期货</w:t>
      </w:r>
      <w:proofErr w:type="gramStart"/>
      <w:r w:rsidRPr="00F16126">
        <w:rPr>
          <w:rFonts w:eastAsia="方正仿宋简体"/>
          <w:sz w:val="32"/>
          <w:szCs w:val="32"/>
        </w:rPr>
        <w:t>期转现交易</w:t>
      </w:r>
      <w:proofErr w:type="gramEnd"/>
      <w:r w:rsidRPr="00F16126">
        <w:rPr>
          <w:rFonts w:eastAsia="方正仿宋简体"/>
          <w:sz w:val="32"/>
          <w:szCs w:val="32"/>
        </w:rPr>
        <w:t>申报由期货合约卖方发起，卖方录入并提交后，期货合约买方确认。经双方</w:t>
      </w:r>
      <w:r w:rsidRPr="00F16126">
        <w:rPr>
          <w:rFonts w:eastAsia="方正仿宋简体" w:hint="eastAsia"/>
          <w:sz w:val="32"/>
          <w:szCs w:val="32"/>
        </w:rPr>
        <w:t>结算</w:t>
      </w:r>
      <w:r w:rsidRPr="00F16126">
        <w:rPr>
          <w:rFonts w:eastAsia="方正仿宋简体"/>
          <w:sz w:val="32"/>
          <w:szCs w:val="32"/>
        </w:rPr>
        <w:t>会员检查审核后，向交易所提交申报。</w:t>
      </w:r>
      <w:r w:rsidRPr="00F16126">
        <w:rPr>
          <w:rFonts w:eastAsia="方正仿宋简体" w:hint="eastAsia"/>
          <w:sz w:val="32"/>
          <w:szCs w:val="32"/>
        </w:rPr>
        <w:t>结算</w:t>
      </w:r>
      <w:r w:rsidRPr="00F16126">
        <w:rPr>
          <w:rFonts w:eastAsia="方正仿宋简体"/>
          <w:sz w:val="32"/>
          <w:szCs w:val="32"/>
        </w:rPr>
        <w:t>会员</w:t>
      </w:r>
      <w:r w:rsidRPr="00F16126">
        <w:rPr>
          <w:rFonts w:eastAsia="方正仿宋简体"/>
          <w:noProof/>
          <w:kern w:val="0"/>
          <w:sz w:val="32"/>
          <w:szCs w:val="32"/>
        </w:rPr>
        <w:t>向交易所提交的国债期货期转现交易申报当日有效。</w:t>
      </w:r>
    </w:p>
    <w:p w:rsidR="00C45B03" w:rsidRPr="00F16126" w:rsidRDefault="00C45B03" w:rsidP="00EB7523">
      <w:pPr>
        <w:widowControl/>
        <w:adjustRightInd w:val="0"/>
        <w:snapToGrid w:val="0"/>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b/>
          <w:sz w:val="32"/>
          <w:szCs w:val="32"/>
        </w:rPr>
        <w:t xml:space="preserve">  </w:t>
      </w:r>
      <w:r w:rsidRPr="00F16126">
        <w:rPr>
          <w:rFonts w:eastAsia="方正仿宋简体"/>
          <w:sz w:val="32"/>
          <w:szCs w:val="32"/>
        </w:rPr>
        <w:t>国债期货</w:t>
      </w:r>
      <w:proofErr w:type="gramStart"/>
      <w:r w:rsidRPr="00F16126">
        <w:rPr>
          <w:rFonts w:eastAsia="方正仿宋简体"/>
          <w:sz w:val="32"/>
          <w:szCs w:val="32"/>
        </w:rPr>
        <w:t>期转现交易</w:t>
      </w:r>
      <w:proofErr w:type="gramEnd"/>
      <w:r w:rsidRPr="00F16126">
        <w:rPr>
          <w:rFonts w:eastAsia="方正仿宋简体"/>
          <w:sz w:val="32"/>
          <w:szCs w:val="32"/>
        </w:rPr>
        <w:t>的卖方申报和买方确认时间为国债期货合约交易日的</w:t>
      </w:r>
      <w:r w:rsidRPr="00F16126">
        <w:rPr>
          <w:rFonts w:eastAsia="方正仿宋简体"/>
          <w:sz w:val="32"/>
          <w:szCs w:val="32"/>
        </w:rPr>
        <w:t>9:15-15:15</w:t>
      </w:r>
      <w:r w:rsidRPr="00F16126">
        <w:rPr>
          <w:rFonts w:eastAsia="方正仿宋简体"/>
          <w:sz w:val="32"/>
          <w:szCs w:val="32"/>
        </w:rPr>
        <w:t>。</w:t>
      </w:r>
    </w:p>
    <w:p w:rsidR="00C45B03" w:rsidRPr="00F16126" w:rsidRDefault="00C45B03" w:rsidP="00EB7523">
      <w:pPr>
        <w:widowControl/>
        <w:adjustRightInd w:val="0"/>
        <w:snapToGrid w:val="0"/>
        <w:spacing w:line="560" w:lineRule="exact"/>
        <w:ind w:firstLineChars="200" w:firstLine="640"/>
        <w:rPr>
          <w:rFonts w:eastAsia="方正仿宋简体"/>
          <w:sz w:val="32"/>
          <w:szCs w:val="32"/>
        </w:rPr>
      </w:pPr>
      <w:r w:rsidRPr="00F16126">
        <w:rPr>
          <w:rFonts w:eastAsia="方正仿宋简体"/>
          <w:sz w:val="32"/>
          <w:szCs w:val="32"/>
        </w:rPr>
        <w:t>交易所确认国债期货</w:t>
      </w:r>
      <w:proofErr w:type="gramStart"/>
      <w:r w:rsidRPr="00F16126">
        <w:rPr>
          <w:rFonts w:eastAsia="方正仿宋简体"/>
          <w:sz w:val="32"/>
          <w:szCs w:val="32"/>
        </w:rPr>
        <w:t>期转现交易</w:t>
      </w:r>
      <w:proofErr w:type="gramEnd"/>
      <w:r w:rsidRPr="00F16126">
        <w:rPr>
          <w:rFonts w:eastAsia="方正仿宋简体"/>
          <w:sz w:val="32"/>
          <w:szCs w:val="32"/>
        </w:rPr>
        <w:t>的时间为国债期货合约交易日的</w:t>
      </w:r>
      <w:r w:rsidRPr="00F16126">
        <w:rPr>
          <w:rFonts w:eastAsia="方正仿宋简体"/>
          <w:sz w:val="32"/>
          <w:szCs w:val="32"/>
        </w:rPr>
        <w:t>9:15-11:30</w:t>
      </w:r>
      <w:r w:rsidRPr="00F16126">
        <w:rPr>
          <w:rFonts w:eastAsia="方正仿宋简体"/>
          <w:sz w:val="32"/>
          <w:szCs w:val="32"/>
        </w:rPr>
        <w:t>，</w:t>
      </w:r>
      <w:r w:rsidRPr="00F16126">
        <w:rPr>
          <w:rFonts w:eastAsia="方正仿宋简体"/>
          <w:sz w:val="32"/>
          <w:szCs w:val="32"/>
        </w:rPr>
        <w:t>13:00-15:15</w:t>
      </w:r>
      <w:r w:rsidRPr="00F16126">
        <w:rPr>
          <w:rFonts w:eastAsia="方正仿宋简体"/>
          <w:sz w:val="32"/>
          <w:szCs w:val="32"/>
        </w:rPr>
        <w:t>。</w:t>
      </w:r>
    </w:p>
    <w:p w:rsidR="00C45B03" w:rsidRPr="00F16126" w:rsidRDefault="00C45B03" w:rsidP="00EB7523">
      <w:pPr>
        <w:widowControl/>
        <w:adjustRightInd w:val="0"/>
        <w:snapToGrid w:val="0"/>
        <w:spacing w:line="560" w:lineRule="exact"/>
        <w:ind w:firstLineChars="200" w:firstLine="640"/>
        <w:rPr>
          <w:rFonts w:eastAsia="方正仿宋简体"/>
          <w:sz w:val="32"/>
          <w:szCs w:val="32"/>
        </w:rPr>
      </w:pPr>
      <w:r w:rsidRPr="00F16126">
        <w:rPr>
          <w:rFonts w:eastAsia="方正仿宋简体"/>
          <w:sz w:val="32"/>
          <w:szCs w:val="32"/>
        </w:rPr>
        <w:t>期货合约卖方提交</w:t>
      </w:r>
      <w:proofErr w:type="gramStart"/>
      <w:r w:rsidRPr="00F16126">
        <w:rPr>
          <w:rFonts w:eastAsia="方正仿宋简体"/>
          <w:sz w:val="32"/>
          <w:szCs w:val="32"/>
        </w:rPr>
        <w:t>期转现交易</w:t>
      </w:r>
      <w:proofErr w:type="gramEnd"/>
      <w:r w:rsidRPr="00F16126">
        <w:rPr>
          <w:rFonts w:eastAsia="方正仿宋简体"/>
          <w:sz w:val="32"/>
          <w:szCs w:val="32"/>
        </w:rPr>
        <w:t>申报不得晚于有价证券或者相关合约成交日下一交易日的</w:t>
      </w:r>
      <w:r w:rsidRPr="00F16126">
        <w:rPr>
          <w:rFonts w:eastAsia="方正仿宋简体"/>
          <w:sz w:val="32"/>
          <w:szCs w:val="32"/>
        </w:rPr>
        <w:t>10:15</w:t>
      </w:r>
      <w:r w:rsidRPr="00F16126">
        <w:rPr>
          <w:rFonts w:eastAsia="方正仿宋简体"/>
          <w:sz w:val="32"/>
          <w:szCs w:val="32"/>
        </w:rPr>
        <w:t>。期货合约最后交易日不得进行期</w:t>
      </w:r>
      <w:proofErr w:type="gramStart"/>
      <w:r w:rsidRPr="00F16126">
        <w:rPr>
          <w:rFonts w:eastAsia="方正仿宋简体"/>
          <w:sz w:val="32"/>
          <w:szCs w:val="32"/>
        </w:rPr>
        <w:t>转现交易</w:t>
      </w:r>
      <w:proofErr w:type="gramEnd"/>
      <w:r w:rsidRPr="00F16126">
        <w:rPr>
          <w:rFonts w:eastAsia="方正仿宋简体"/>
          <w:sz w:val="32"/>
          <w:szCs w:val="32"/>
        </w:rPr>
        <w:t>申报和买方确认。</w:t>
      </w:r>
    </w:p>
    <w:p w:rsidR="00C45B03" w:rsidRPr="00F16126" w:rsidRDefault="00C45B03" w:rsidP="00EB7523">
      <w:pPr>
        <w:widowControl/>
        <w:adjustRightInd w:val="0"/>
        <w:snapToGrid w:val="0"/>
        <w:spacing w:line="560" w:lineRule="exact"/>
        <w:ind w:firstLineChars="200" w:firstLine="640"/>
        <w:rPr>
          <w:rFonts w:eastAsia="方正仿宋简体"/>
          <w:sz w:val="32"/>
          <w:szCs w:val="32"/>
        </w:rPr>
      </w:pPr>
      <w:proofErr w:type="gramStart"/>
      <w:r w:rsidRPr="00F16126">
        <w:rPr>
          <w:rFonts w:eastAsia="方正仿宋简体"/>
          <w:sz w:val="32"/>
          <w:szCs w:val="32"/>
        </w:rPr>
        <w:t>期转现交易</w:t>
      </w:r>
      <w:proofErr w:type="gramEnd"/>
      <w:r w:rsidRPr="00F16126">
        <w:rPr>
          <w:rFonts w:eastAsia="方正仿宋简体"/>
          <w:sz w:val="32"/>
          <w:szCs w:val="32"/>
        </w:rPr>
        <w:t>的期货合约买方应当在卖方提交国债期货</w:t>
      </w:r>
      <w:proofErr w:type="gramStart"/>
      <w:r w:rsidRPr="00F16126">
        <w:rPr>
          <w:rFonts w:eastAsia="方正仿宋简体"/>
          <w:sz w:val="32"/>
          <w:szCs w:val="32"/>
        </w:rPr>
        <w:t>期转现交易</w:t>
      </w:r>
      <w:proofErr w:type="gramEnd"/>
      <w:r w:rsidRPr="00F16126">
        <w:rPr>
          <w:rFonts w:eastAsia="方正仿宋简体"/>
          <w:sz w:val="32"/>
          <w:szCs w:val="32"/>
        </w:rPr>
        <w:t>申报后</w:t>
      </w:r>
      <w:r w:rsidRPr="00F16126">
        <w:rPr>
          <w:rFonts w:eastAsia="方正仿宋简体"/>
          <w:sz w:val="32"/>
          <w:szCs w:val="32"/>
        </w:rPr>
        <w:t>60</w:t>
      </w:r>
      <w:r w:rsidRPr="00F16126">
        <w:rPr>
          <w:rFonts w:eastAsia="方正仿宋简体"/>
          <w:sz w:val="32"/>
          <w:szCs w:val="32"/>
        </w:rPr>
        <w:t>分钟内确认交易申报。</w:t>
      </w:r>
      <w:proofErr w:type="gramStart"/>
      <w:r w:rsidRPr="00F16126">
        <w:rPr>
          <w:rFonts w:eastAsia="方正仿宋简体"/>
          <w:sz w:val="32"/>
          <w:szCs w:val="32"/>
        </w:rPr>
        <w:t>遇非交易所</w:t>
      </w:r>
      <w:proofErr w:type="gramEnd"/>
      <w:r w:rsidRPr="00F16126">
        <w:rPr>
          <w:rFonts w:eastAsia="方正仿宋简体"/>
          <w:sz w:val="32"/>
          <w:szCs w:val="32"/>
        </w:rPr>
        <w:t>确认国债期货</w:t>
      </w:r>
      <w:proofErr w:type="gramStart"/>
      <w:r w:rsidRPr="00F16126">
        <w:rPr>
          <w:rFonts w:eastAsia="方正仿宋简体"/>
          <w:sz w:val="32"/>
          <w:szCs w:val="32"/>
        </w:rPr>
        <w:t>期转现交易</w:t>
      </w:r>
      <w:proofErr w:type="gramEnd"/>
      <w:r w:rsidRPr="00F16126">
        <w:rPr>
          <w:rFonts w:eastAsia="方正仿宋简体"/>
          <w:sz w:val="32"/>
          <w:szCs w:val="32"/>
        </w:rPr>
        <w:t>的时间，买方确认截止时间顺延。</w:t>
      </w:r>
    </w:p>
    <w:p w:rsidR="00C45B03" w:rsidRPr="00F16126" w:rsidRDefault="00C45B03" w:rsidP="00EB7523">
      <w:pPr>
        <w:widowControl/>
        <w:adjustRightInd w:val="0"/>
        <w:snapToGrid w:val="0"/>
        <w:spacing w:line="560" w:lineRule="exact"/>
        <w:ind w:firstLineChars="200" w:firstLine="640"/>
        <w:rPr>
          <w:rFonts w:eastAsia="方正仿宋简体"/>
          <w:sz w:val="32"/>
          <w:szCs w:val="32"/>
        </w:rPr>
      </w:pPr>
      <w:r w:rsidRPr="00F16126">
        <w:rPr>
          <w:rFonts w:eastAsia="方正仿宋简体"/>
          <w:sz w:val="32"/>
          <w:szCs w:val="32"/>
        </w:rPr>
        <w:t>卖方提交交易申报时间和买方确认交易申报时间以交易所系统记录的数据为准。</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申报由双方</w:t>
      </w:r>
      <w:r w:rsidRPr="00F16126">
        <w:rPr>
          <w:rFonts w:eastAsia="方正仿宋简体" w:hint="eastAsia"/>
          <w:sz w:val="32"/>
          <w:szCs w:val="32"/>
        </w:rPr>
        <w:t>结算</w:t>
      </w:r>
      <w:r w:rsidRPr="00F16126">
        <w:rPr>
          <w:rFonts w:eastAsia="方正仿宋简体"/>
          <w:sz w:val="32"/>
          <w:szCs w:val="32"/>
        </w:rPr>
        <w:t>会员检查审核后向交易所提交，期货合约交易申报经交易所确认后生效，并向市场发布相关成交信息。</w:t>
      </w:r>
    </w:p>
    <w:p w:rsidR="00C45B03" w:rsidRPr="00F16126" w:rsidRDefault="00C45B03" w:rsidP="00EB7523">
      <w:pPr>
        <w:snapToGrid w:val="0"/>
        <w:spacing w:line="560" w:lineRule="exact"/>
        <w:ind w:firstLine="643"/>
        <w:jc w:val="center"/>
        <w:rPr>
          <w:rFonts w:eastAsia="方正仿宋简体"/>
          <w:b/>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信息发布</w:t>
      </w:r>
    </w:p>
    <w:p w:rsidR="00C45B03" w:rsidRPr="00F16126" w:rsidRDefault="00C45B03" w:rsidP="00EB7523">
      <w:pPr>
        <w:snapToGrid w:val="0"/>
        <w:spacing w:line="560" w:lineRule="exact"/>
        <w:ind w:firstLineChars="200" w:firstLine="643"/>
        <w:rPr>
          <w:rFonts w:eastAsia="方正仿宋简体"/>
          <w:b/>
          <w:sz w:val="32"/>
          <w:szCs w:val="32"/>
        </w:rPr>
      </w:pP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sz w:val="32"/>
          <w:szCs w:val="32"/>
        </w:rPr>
        <w:t xml:space="preserve">  </w:t>
      </w:r>
      <w:proofErr w:type="gramStart"/>
      <w:r w:rsidRPr="00F16126">
        <w:rPr>
          <w:rFonts w:eastAsia="方正仿宋简体"/>
          <w:sz w:val="32"/>
          <w:szCs w:val="32"/>
        </w:rPr>
        <w:t>期转现交易</w:t>
      </w:r>
      <w:proofErr w:type="gramEnd"/>
      <w:r w:rsidRPr="00F16126">
        <w:rPr>
          <w:rFonts w:eastAsia="方正仿宋简体"/>
          <w:sz w:val="32"/>
          <w:szCs w:val="32"/>
        </w:rPr>
        <w:t>达成的期货合约成交量、成交金额、持仓量变化在交易所确认生效后，与即时行情一并发布。</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sz w:val="32"/>
          <w:szCs w:val="32"/>
        </w:rPr>
        <w:t xml:space="preserve">  </w:t>
      </w:r>
      <w:r w:rsidRPr="00F16126">
        <w:rPr>
          <w:rFonts w:eastAsia="方正仿宋简体"/>
          <w:sz w:val="32"/>
          <w:szCs w:val="32"/>
        </w:rPr>
        <w:t>交易所网站逐笔披露</w:t>
      </w:r>
      <w:proofErr w:type="gramStart"/>
      <w:r w:rsidRPr="00F16126">
        <w:rPr>
          <w:rFonts w:eastAsia="方正仿宋简体"/>
          <w:sz w:val="32"/>
          <w:szCs w:val="32"/>
        </w:rPr>
        <w:t>期转现交易</w:t>
      </w:r>
      <w:proofErr w:type="gramEnd"/>
      <w:r w:rsidRPr="00F16126">
        <w:rPr>
          <w:rFonts w:eastAsia="方正仿宋简体"/>
          <w:sz w:val="32"/>
          <w:szCs w:val="32"/>
        </w:rPr>
        <w:t>，披露内容包括：合约代码、成交确认日、成交确认时间、成交量。</w:t>
      </w:r>
    </w:p>
    <w:p w:rsidR="00C45B03" w:rsidRPr="00F16126" w:rsidRDefault="00C45B03" w:rsidP="00EB7523">
      <w:pPr>
        <w:snapToGrid w:val="0"/>
        <w:spacing w:line="560" w:lineRule="exact"/>
        <w:ind w:firstLineChars="200" w:firstLine="640"/>
        <w:rPr>
          <w:rFonts w:eastAsia="方正仿宋简体"/>
          <w:sz w:val="32"/>
          <w:szCs w:val="32"/>
        </w:rPr>
      </w:pPr>
    </w:p>
    <w:p w:rsidR="00C45B03" w:rsidRPr="00F16126" w:rsidRDefault="00C45B03" w:rsidP="00EB7523">
      <w:pPr>
        <w:snapToGrid w:val="0"/>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附则</w:t>
      </w:r>
    </w:p>
    <w:p w:rsidR="00C45B03" w:rsidRPr="00F16126" w:rsidRDefault="00C45B03" w:rsidP="00EB7523">
      <w:pPr>
        <w:snapToGrid w:val="0"/>
        <w:spacing w:line="560" w:lineRule="exact"/>
        <w:ind w:firstLineChars="200" w:firstLine="643"/>
        <w:rPr>
          <w:rFonts w:eastAsia="方正仿宋简体"/>
          <w:b/>
          <w:sz w:val="32"/>
          <w:szCs w:val="32"/>
        </w:rPr>
      </w:pP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b/>
          <w:sz w:val="32"/>
          <w:szCs w:val="32"/>
        </w:rPr>
        <w:t xml:space="preserve">  </w:t>
      </w:r>
      <w:r w:rsidRPr="00F16126">
        <w:rPr>
          <w:rFonts w:eastAsia="方正仿宋简体"/>
          <w:sz w:val="32"/>
          <w:szCs w:val="32"/>
        </w:rPr>
        <w:t>违反本细则规定的，交易所按照《中国金融期货交易所违规违约处理办法》有关规定处理。</w:t>
      </w:r>
    </w:p>
    <w:p w:rsidR="00C45B03" w:rsidRPr="00F16126" w:rsidRDefault="00C45B03" w:rsidP="00EB7523">
      <w:pPr>
        <w:snapToGrid w:val="0"/>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b/>
          <w:sz w:val="32"/>
          <w:szCs w:val="32"/>
        </w:rPr>
        <w:t xml:space="preserve">  </w:t>
      </w:r>
      <w:r w:rsidRPr="00F16126">
        <w:rPr>
          <w:rFonts w:eastAsia="方正仿宋简体"/>
          <w:sz w:val="32"/>
          <w:szCs w:val="32"/>
        </w:rPr>
        <w:t>本细则由交易所负责解释。</w:t>
      </w:r>
    </w:p>
    <w:p w:rsidR="00C45B03" w:rsidRPr="00F16126" w:rsidRDefault="00C45B03" w:rsidP="00EB7523">
      <w:pPr>
        <w:snapToGrid w:val="0"/>
        <w:spacing w:line="560" w:lineRule="exact"/>
        <w:ind w:firstLineChars="200" w:firstLine="643"/>
        <w:rPr>
          <w:rFonts w:eastAsia="方正仿宋简体"/>
          <w:sz w:val="32"/>
          <w:szCs w:val="32"/>
        </w:rPr>
      </w:pPr>
      <w:r w:rsidRPr="00EA5D06">
        <w:rPr>
          <w:rFonts w:eastAsia="方正仿宋简体"/>
          <w:b/>
          <w:sz w:val="32"/>
          <w:szCs w:val="32"/>
        </w:rPr>
        <w:t>第二十条</w:t>
      </w:r>
      <w:r w:rsidRPr="00EA5D06">
        <w:rPr>
          <w:rFonts w:eastAsia="方正仿宋简体"/>
          <w:b/>
          <w:sz w:val="32"/>
          <w:szCs w:val="32"/>
        </w:rPr>
        <w:t xml:space="preserve">  </w:t>
      </w:r>
      <w:r w:rsidRPr="00EA5D06">
        <w:rPr>
          <w:rFonts w:eastAsia="方正仿宋简体"/>
          <w:sz w:val="32"/>
          <w:szCs w:val="32"/>
        </w:rPr>
        <w:t>本细则自</w:t>
      </w:r>
      <w:r w:rsidR="00EB6501" w:rsidRPr="00EA5D06">
        <w:rPr>
          <w:rFonts w:eastAsia="方正仿宋简体"/>
          <w:sz w:val="32"/>
          <w:szCs w:val="32"/>
        </w:rPr>
        <w:t>2020</w:t>
      </w:r>
      <w:r w:rsidRPr="00EA5D06">
        <w:rPr>
          <w:rFonts w:eastAsia="方正仿宋简体"/>
          <w:sz w:val="32"/>
          <w:szCs w:val="32"/>
        </w:rPr>
        <w:t>年</w:t>
      </w:r>
      <w:r w:rsidR="00EB6501" w:rsidRPr="00EA5D06">
        <w:rPr>
          <w:rFonts w:eastAsia="方正仿宋简体"/>
          <w:sz w:val="32"/>
          <w:szCs w:val="32"/>
        </w:rPr>
        <w:t>3</w:t>
      </w:r>
      <w:r w:rsidRPr="00EA5D06">
        <w:rPr>
          <w:rFonts w:eastAsia="方正仿宋简体"/>
          <w:sz w:val="32"/>
          <w:szCs w:val="32"/>
        </w:rPr>
        <w:t>月</w:t>
      </w:r>
      <w:r w:rsidR="009B035B">
        <w:rPr>
          <w:rFonts w:eastAsia="方正仿宋简体"/>
          <w:sz w:val="32"/>
          <w:szCs w:val="32"/>
        </w:rPr>
        <w:t>9</w:t>
      </w:r>
      <w:bookmarkStart w:id="0" w:name="_GoBack"/>
      <w:bookmarkEnd w:id="0"/>
      <w:r w:rsidRPr="00EA5D06">
        <w:rPr>
          <w:rFonts w:eastAsia="方正仿宋简体"/>
          <w:sz w:val="32"/>
          <w:szCs w:val="32"/>
        </w:rPr>
        <w:t>日起实施。</w:t>
      </w:r>
    </w:p>
    <w:sectPr w:rsidR="00C45B03" w:rsidRPr="00F16126"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F7" w:rsidRDefault="009E19F7" w:rsidP="009E19F7">
      <w:r>
        <w:separator/>
      </w:r>
    </w:p>
  </w:endnote>
  <w:endnote w:type="continuationSeparator" w:id="0">
    <w:p w:rsidR="009E19F7" w:rsidRDefault="009E19F7" w:rsidP="009E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7" w:rsidRDefault="009E19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64581"/>
      <w:docPartObj>
        <w:docPartGallery w:val="Page Numbers (Bottom of Page)"/>
        <w:docPartUnique/>
      </w:docPartObj>
    </w:sdtPr>
    <w:sdtEndPr/>
    <w:sdtContent>
      <w:p w:rsidR="00E5786F" w:rsidRDefault="00E5786F">
        <w:pPr>
          <w:pStyle w:val="a4"/>
          <w:jc w:val="center"/>
        </w:pPr>
        <w:r>
          <w:fldChar w:fldCharType="begin"/>
        </w:r>
        <w:r>
          <w:instrText>PAGE   \* MERGEFORMAT</w:instrText>
        </w:r>
        <w:r>
          <w:fldChar w:fldCharType="separate"/>
        </w:r>
        <w:r w:rsidR="009B035B" w:rsidRPr="009B035B">
          <w:rPr>
            <w:noProof/>
            <w:lang w:val="zh-CN"/>
          </w:rPr>
          <w:t>5</w:t>
        </w:r>
        <w:r>
          <w:fldChar w:fldCharType="end"/>
        </w:r>
      </w:p>
    </w:sdtContent>
  </w:sdt>
  <w:p w:rsidR="009E19F7" w:rsidRDefault="009E19F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7" w:rsidRDefault="009E19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F7" w:rsidRDefault="009E19F7" w:rsidP="009E19F7">
      <w:r>
        <w:separator/>
      </w:r>
    </w:p>
  </w:footnote>
  <w:footnote w:type="continuationSeparator" w:id="0">
    <w:p w:rsidR="009E19F7" w:rsidRDefault="009E19F7" w:rsidP="009E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7" w:rsidRDefault="009E19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7" w:rsidRPr="009E19F7" w:rsidRDefault="009E19F7" w:rsidP="009E19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7" w:rsidRDefault="009E19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3"/>
    <w:rsid w:val="002D6F2C"/>
    <w:rsid w:val="005E1796"/>
    <w:rsid w:val="009B035B"/>
    <w:rsid w:val="009E19F7"/>
    <w:rsid w:val="00AC6495"/>
    <w:rsid w:val="00C45B03"/>
    <w:rsid w:val="00C81E30"/>
    <w:rsid w:val="00E5786F"/>
    <w:rsid w:val="00EA5D06"/>
    <w:rsid w:val="00EB6501"/>
    <w:rsid w:val="00EB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9A12203-F6E7-49FD-8789-CD237052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03"/>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9F7"/>
    <w:rPr>
      <w:rFonts w:eastAsia="宋体"/>
      <w:sz w:val="18"/>
      <w:szCs w:val="18"/>
    </w:rPr>
  </w:style>
  <w:style w:type="paragraph" w:styleId="a4">
    <w:name w:val="footer"/>
    <w:basedOn w:val="a"/>
    <w:link w:val="Char0"/>
    <w:uiPriority w:val="99"/>
    <w:unhideWhenUsed/>
    <w:rsid w:val="009E19F7"/>
    <w:pPr>
      <w:tabs>
        <w:tab w:val="center" w:pos="4153"/>
        <w:tab w:val="right" w:pos="8306"/>
      </w:tabs>
      <w:snapToGrid w:val="0"/>
      <w:jc w:val="left"/>
    </w:pPr>
    <w:rPr>
      <w:sz w:val="18"/>
      <w:szCs w:val="18"/>
    </w:rPr>
  </w:style>
  <w:style w:type="character" w:customStyle="1" w:styleId="Char0">
    <w:name w:val="页脚 Char"/>
    <w:basedOn w:val="a0"/>
    <w:link w:val="a4"/>
    <w:uiPriority w:val="99"/>
    <w:rsid w:val="009E19F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9</cp:revision>
  <dcterms:created xsi:type="dcterms:W3CDTF">2020-02-21T03:44:00Z</dcterms:created>
  <dcterms:modified xsi:type="dcterms:W3CDTF">2020-02-28T09:16:00Z</dcterms:modified>
</cp:coreProperties>
</file>