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F3" w:rsidRDefault="009715F3" w:rsidP="00883F4D">
      <w:pPr>
        <w:spacing w:line="560" w:lineRule="exact"/>
        <w:jc w:val="center"/>
        <w:rPr>
          <w:rFonts w:ascii="方正大标宋简体" w:eastAsia="方正大标宋简体" w:hAnsi="Calibri"/>
          <w:sz w:val="44"/>
          <w:szCs w:val="44"/>
        </w:rPr>
      </w:pPr>
      <w:bookmarkStart w:id="0" w:name="_GoBack"/>
      <w:bookmarkEnd w:id="0"/>
      <w:r w:rsidRPr="00F16126">
        <w:rPr>
          <w:rFonts w:ascii="方正大标宋简体" w:eastAsia="方正大标宋简体" w:hAnsi="Calibri" w:hint="eastAsia"/>
          <w:sz w:val="44"/>
          <w:szCs w:val="44"/>
        </w:rPr>
        <w:t>《中国金融期货交易所异常交易管理办法》</w:t>
      </w:r>
    </w:p>
    <w:p w:rsidR="009715F3" w:rsidRPr="00F16126" w:rsidRDefault="009715F3" w:rsidP="000F081B">
      <w:pPr>
        <w:spacing w:line="560" w:lineRule="exact"/>
        <w:jc w:val="center"/>
        <w:rPr>
          <w:rFonts w:ascii="方正大标宋简体" w:eastAsia="方正大标宋简体" w:hAnsi="Calibri"/>
          <w:sz w:val="44"/>
          <w:szCs w:val="44"/>
        </w:rPr>
      </w:pPr>
      <w:r w:rsidRPr="00F16126">
        <w:rPr>
          <w:rFonts w:ascii="方正大标宋简体" w:eastAsia="方正大标宋简体" w:hAnsi="Calibri" w:hint="eastAsia"/>
          <w:sz w:val="44"/>
          <w:szCs w:val="44"/>
        </w:rPr>
        <w:t>修订对照表</w:t>
      </w:r>
    </w:p>
    <w:p w:rsidR="009715F3" w:rsidRDefault="009715F3" w:rsidP="000F081B">
      <w:pPr>
        <w:spacing w:line="560" w:lineRule="exact"/>
        <w:jc w:val="center"/>
        <w:rPr>
          <w:rFonts w:eastAsia="方正仿宋简体"/>
          <w:sz w:val="32"/>
          <w:szCs w:val="32"/>
        </w:rPr>
      </w:pPr>
    </w:p>
    <w:p w:rsidR="009715F3" w:rsidRDefault="009715F3" w:rsidP="000F081B">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9715F3" w:rsidRPr="00F16126" w:rsidRDefault="009715F3" w:rsidP="000F081B">
      <w:pPr>
        <w:spacing w:line="560" w:lineRule="exact"/>
        <w:rPr>
          <w:rFonts w:eastAsia="方正仿宋简体"/>
          <w:sz w:val="32"/>
          <w:szCs w:val="32"/>
        </w:rPr>
      </w:pPr>
    </w:p>
    <w:tbl>
      <w:tblPr>
        <w:tblW w:w="5379" w:type="pct"/>
        <w:tblInd w:w="-289" w:type="dxa"/>
        <w:tblLook w:val="04A0" w:firstRow="1" w:lastRow="0" w:firstColumn="1" w:lastColumn="0" w:noHBand="0" w:noVBand="1"/>
      </w:tblPr>
      <w:tblGrid>
        <w:gridCol w:w="4916"/>
        <w:gridCol w:w="4465"/>
      </w:tblGrid>
      <w:tr w:rsidR="004C770B" w:rsidRPr="00F16126" w:rsidTr="004C770B">
        <w:tc>
          <w:tcPr>
            <w:tcW w:w="2620" w:type="pct"/>
            <w:tcBorders>
              <w:top w:val="single" w:sz="4" w:space="0" w:color="auto"/>
              <w:left w:val="single" w:sz="4" w:space="0" w:color="auto"/>
              <w:bottom w:val="single" w:sz="4" w:space="0" w:color="auto"/>
              <w:right w:val="single" w:sz="4" w:space="0" w:color="auto"/>
            </w:tcBorders>
            <w:vAlign w:val="center"/>
            <w:hideMark/>
          </w:tcPr>
          <w:p w:rsidR="004C770B" w:rsidRPr="00F16126" w:rsidRDefault="004C770B" w:rsidP="000F081B">
            <w:pPr>
              <w:spacing w:line="560" w:lineRule="exact"/>
              <w:jc w:val="center"/>
              <w:rPr>
                <w:rFonts w:eastAsia="方正仿宋简体"/>
                <w:b/>
                <w:sz w:val="32"/>
                <w:szCs w:val="32"/>
              </w:rPr>
            </w:pPr>
            <w:r w:rsidRPr="00F16126">
              <w:rPr>
                <w:rFonts w:eastAsia="方正仿宋简体" w:hint="eastAsia"/>
                <w:b/>
                <w:sz w:val="32"/>
                <w:szCs w:val="32"/>
              </w:rPr>
              <w:t>修订稿</w:t>
            </w:r>
          </w:p>
        </w:tc>
        <w:tc>
          <w:tcPr>
            <w:tcW w:w="2380" w:type="pct"/>
            <w:tcBorders>
              <w:top w:val="single" w:sz="4" w:space="0" w:color="auto"/>
              <w:left w:val="single" w:sz="4" w:space="0" w:color="auto"/>
              <w:bottom w:val="single" w:sz="4" w:space="0" w:color="auto"/>
              <w:right w:val="single" w:sz="4" w:space="0" w:color="auto"/>
            </w:tcBorders>
            <w:vAlign w:val="center"/>
            <w:hideMark/>
          </w:tcPr>
          <w:p w:rsidR="004C770B" w:rsidRPr="00F16126" w:rsidRDefault="000F081B" w:rsidP="000F081B">
            <w:pPr>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5379" w:type="pct"/>
        <w:tblInd w:w="-289" w:type="dxa"/>
        <w:tblLook w:val="04A0" w:firstRow="1" w:lastRow="0" w:firstColumn="1" w:lastColumn="0" w:noHBand="0" w:noVBand="1"/>
      </w:tblPr>
      <w:tblGrid>
        <w:gridCol w:w="4916"/>
        <w:gridCol w:w="4465"/>
      </w:tblGrid>
      <w:tr w:rsidR="004C770B" w:rsidRPr="00F16126" w:rsidTr="004C770B">
        <w:tc>
          <w:tcPr>
            <w:tcW w:w="2620" w:type="pct"/>
            <w:tcBorders>
              <w:top w:val="single" w:sz="4" w:space="0" w:color="auto"/>
              <w:left w:val="single" w:sz="4" w:space="0" w:color="auto"/>
              <w:bottom w:val="single" w:sz="4" w:space="0" w:color="auto"/>
              <w:right w:val="single" w:sz="4" w:space="0" w:color="auto"/>
            </w:tcBorders>
          </w:tcPr>
          <w:p w:rsidR="004C770B" w:rsidRPr="00F16126" w:rsidRDefault="004C770B" w:rsidP="000F081B">
            <w:pPr>
              <w:spacing w:line="560" w:lineRule="exact"/>
              <w:rPr>
                <w:rFonts w:eastAsia="方正仿宋简体"/>
                <w:b/>
                <w:sz w:val="32"/>
                <w:szCs w:val="32"/>
              </w:rPr>
            </w:pPr>
            <w:r w:rsidRPr="00F16126">
              <w:rPr>
                <w:rFonts w:ascii="方正仿宋简体" w:eastAsia="方正仿宋简体" w:cs="方正仿宋简体" w:hint="eastAsia"/>
                <w:b/>
                <w:kern w:val="0"/>
                <w:sz w:val="32"/>
                <w:szCs w:val="32"/>
              </w:rPr>
              <w:t>第四条</w:t>
            </w:r>
            <w:r w:rsidRPr="00F16126">
              <w:rPr>
                <w:rFonts w:ascii="方正仿宋简体" w:eastAsia="方正仿宋简体" w:cs="方正仿宋简体" w:hint="eastAsia"/>
                <w:kern w:val="0"/>
                <w:sz w:val="32"/>
                <w:szCs w:val="32"/>
              </w:rPr>
              <w:t xml:space="preserve"> </w:t>
            </w:r>
            <w:r w:rsidRPr="00F16126">
              <w:rPr>
                <w:rFonts w:ascii="方正仿宋简体" w:eastAsia="方正仿宋简体" w:cs="方正仿宋简体"/>
                <w:kern w:val="0"/>
                <w:sz w:val="32"/>
                <w:szCs w:val="32"/>
              </w:rPr>
              <w:t xml:space="preserve"> </w:t>
            </w:r>
            <w:r w:rsidRPr="00F16126">
              <w:rPr>
                <w:rFonts w:ascii="方正仿宋简体" w:eastAsia="方正仿宋简体" w:cs="方正仿宋简体" w:hint="eastAsia"/>
                <w:b/>
                <w:kern w:val="0"/>
                <w:sz w:val="32"/>
                <w:szCs w:val="32"/>
                <w:shd w:val="pct15" w:color="auto" w:fill="FFFFFF"/>
              </w:rPr>
              <w:t>非期货公司</w:t>
            </w:r>
            <w:r w:rsidRPr="00F16126">
              <w:rPr>
                <w:rFonts w:ascii="方正仿宋简体" w:eastAsia="方正仿宋简体" w:cs="方正仿宋简体"/>
                <w:b/>
                <w:kern w:val="0"/>
                <w:sz w:val="32"/>
                <w:szCs w:val="32"/>
                <w:shd w:val="pct15" w:color="auto" w:fill="FFFFFF"/>
              </w:rPr>
              <w:t>会员</w:t>
            </w:r>
            <w:r w:rsidRPr="00F16126">
              <w:rPr>
                <w:rFonts w:ascii="方正仿宋简体" w:eastAsia="方正仿宋简体" w:cs="方正仿宋简体" w:hint="eastAsia"/>
                <w:b/>
                <w:kern w:val="0"/>
                <w:sz w:val="32"/>
                <w:szCs w:val="32"/>
                <w:shd w:val="pct15" w:color="auto" w:fill="FFFFFF"/>
              </w:rPr>
              <w:t>、</w:t>
            </w:r>
            <w:r w:rsidRPr="00F16126">
              <w:rPr>
                <w:rFonts w:ascii="方正仿宋简体" w:eastAsia="方正仿宋简体" w:cs="方正仿宋简体" w:hint="eastAsia"/>
                <w:kern w:val="0"/>
                <w:sz w:val="32"/>
                <w:szCs w:val="32"/>
              </w:rPr>
              <w:t>客户参与期货交易应当遵守法律法规和交易所业务规则的规定，接受交易所监管及会员对其交易行为的合法合</w:t>
            </w:r>
            <w:proofErr w:type="gramStart"/>
            <w:r w:rsidRPr="00F16126">
              <w:rPr>
                <w:rFonts w:ascii="方正仿宋简体" w:eastAsia="方正仿宋简体" w:cs="方正仿宋简体" w:hint="eastAsia"/>
                <w:kern w:val="0"/>
                <w:sz w:val="32"/>
                <w:szCs w:val="32"/>
              </w:rPr>
              <w:t>规</w:t>
            </w:r>
            <w:proofErr w:type="gramEnd"/>
            <w:r w:rsidRPr="00F16126">
              <w:rPr>
                <w:rFonts w:ascii="方正仿宋简体" w:eastAsia="方正仿宋简体" w:cs="方正仿宋简体" w:hint="eastAsia"/>
                <w:kern w:val="0"/>
                <w:sz w:val="32"/>
                <w:szCs w:val="32"/>
              </w:rPr>
              <w:t>性管理，自觉规范交易行为。</w:t>
            </w:r>
          </w:p>
        </w:tc>
        <w:tc>
          <w:tcPr>
            <w:tcW w:w="2380" w:type="pct"/>
            <w:tcBorders>
              <w:top w:val="single" w:sz="4" w:space="0" w:color="auto"/>
              <w:left w:val="single" w:sz="4" w:space="0" w:color="auto"/>
              <w:bottom w:val="single" w:sz="4" w:space="0" w:color="auto"/>
              <w:right w:val="single" w:sz="4" w:space="0" w:color="auto"/>
            </w:tcBorders>
          </w:tcPr>
          <w:p w:rsidR="004C770B" w:rsidRPr="00F16126" w:rsidRDefault="004C770B" w:rsidP="000F081B">
            <w:pPr>
              <w:spacing w:line="560" w:lineRule="exact"/>
              <w:rPr>
                <w:rFonts w:eastAsia="方正仿宋简体"/>
                <w:b/>
                <w:sz w:val="32"/>
                <w:szCs w:val="32"/>
              </w:rPr>
            </w:pPr>
            <w:r w:rsidRPr="00F16126">
              <w:rPr>
                <w:rFonts w:ascii="方正仿宋简体" w:eastAsia="方正仿宋简体" w:cs="方正仿宋简体" w:hint="eastAsia"/>
                <w:b/>
                <w:kern w:val="0"/>
                <w:sz w:val="32"/>
                <w:szCs w:val="32"/>
              </w:rPr>
              <w:t>第四条</w:t>
            </w:r>
            <w:r w:rsidRPr="00F16126">
              <w:rPr>
                <w:rFonts w:ascii="方正仿宋简体" w:eastAsia="方正仿宋简体" w:cs="方正仿宋简体" w:hint="eastAsia"/>
                <w:kern w:val="0"/>
                <w:sz w:val="32"/>
                <w:szCs w:val="32"/>
              </w:rPr>
              <w:t xml:space="preserve"> </w:t>
            </w:r>
            <w:r w:rsidRPr="00F16126">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客户参与期货交易应当遵守法律法规和交易所业务规则的规定，接受交易所监管及会员对其交易行为的合法合</w:t>
            </w:r>
            <w:proofErr w:type="gramStart"/>
            <w:r w:rsidRPr="00F16126">
              <w:rPr>
                <w:rFonts w:ascii="方正仿宋简体" w:eastAsia="方正仿宋简体" w:cs="方正仿宋简体" w:hint="eastAsia"/>
                <w:kern w:val="0"/>
                <w:sz w:val="32"/>
                <w:szCs w:val="32"/>
              </w:rPr>
              <w:t>规</w:t>
            </w:r>
            <w:proofErr w:type="gramEnd"/>
            <w:r w:rsidRPr="00F16126">
              <w:rPr>
                <w:rFonts w:ascii="方正仿宋简体" w:eastAsia="方正仿宋简体" w:cs="方正仿宋简体" w:hint="eastAsia"/>
                <w:kern w:val="0"/>
                <w:sz w:val="32"/>
                <w:szCs w:val="32"/>
              </w:rPr>
              <w:t>性管理，自觉规范交易行为。</w:t>
            </w:r>
          </w:p>
        </w:tc>
      </w:tr>
      <w:tr w:rsidR="004C770B" w:rsidRPr="00F16126" w:rsidTr="004C770B">
        <w:tc>
          <w:tcPr>
            <w:tcW w:w="2620" w:type="pct"/>
            <w:tcBorders>
              <w:top w:val="single" w:sz="4" w:space="0" w:color="auto"/>
              <w:left w:val="single" w:sz="4" w:space="0" w:color="auto"/>
              <w:bottom w:val="single" w:sz="4" w:space="0" w:color="auto"/>
              <w:right w:val="single" w:sz="4" w:space="0" w:color="auto"/>
            </w:tcBorders>
          </w:tcPr>
          <w:p w:rsidR="004C770B" w:rsidRPr="00F16126" w:rsidRDefault="004C770B" w:rsidP="000F081B">
            <w:pPr>
              <w:spacing w:line="560" w:lineRule="exact"/>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第五条</w:t>
            </w:r>
            <w:r w:rsidRPr="00F16126">
              <w:rPr>
                <w:rFonts w:ascii="方正仿宋简体" w:eastAsia="方正仿宋简体" w:cs="方正仿宋简体" w:hint="eastAsia"/>
                <w:kern w:val="0"/>
                <w:sz w:val="32"/>
                <w:szCs w:val="32"/>
              </w:rPr>
              <w:t xml:space="preserve"> 期货交易出现以下情形之一的，为异常交易行为：</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（一）以自己为交易对象，大量或者多次进行自买自卖（包括一组实际控制关系账户内的</w:t>
            </w:r>
            <w:r w:rsidRPr="00F16126">
              <w:rPr>
                <w:rFonts w:eastAsia="方正仿宋简体" w:hint="eastAsia"/>
                <w:dstrike/>
                <w:sz w:val="32"/>
                <w:szCs w:val="32"/>
              </w:rPr>
              <w:t>客户之间的</w:t>
            </w:r>
            <w:r w:rsidRPr="00F16126">
              <w:rPr>
                <w:rFonts w:ascii="方正仿宋简体" w:eastAsia="方正仿宋简体" w:cs="方正仿宋简体" w:hint="eastAsia"/>
                <w:kern w:val="0"/>
                <w:sz w:val="32"/>
                <w:szCs w:val="32"/>
              </w:rPr>
              <w:t>交易）；</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（二）</w:t>
            </w:r>
            <w:proofErr w:type="gramStart"/>
            <w:r w:rsidRPr="00F16126">
              <w:rPr>
                <w:rFonts w:ascii="方正仿宋简体" w:eastAsia="方正仿宋简体" w:cs="方正仿宋简体" w:hint="eastAsia"/>
                <w:kern w:val="0"/>
                <w:sz w:val="32"/>
                <w:szCs w:val="32"/>
              </w:rPr>
              <w:t>频繁报撤单行</w:t>
            </w:r>
            <w:proofErr w:type="gramEnd"/>
            <w:r w:rsidRPr="00F16126">
              <w:rPr>
                <w:rFonts w:ascii="方正仿宋简体" w:eastAsia="方正仿宋简体" w:cs="方正仿宋简体" w:hint="eastAsia"/>
                <w:kern w:val="0"/>
                <w:sz w:val="32"/>
                <w:szCs w:val="32"/>
              </w:rPr>
              <w:t>为；</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（三）</w:t>
            </w:r>
            <w:proofErr w:type="gramStart"/>
            <w:r w:rsidRPr="00F16126">
              <w:rPr>
                <w:rFonts w:ascii="方正仿宋简体" w:eastAsia="方正仿宋简体" w:cs="方正仿宋简体" w:hint="eastAsia"/>
                <w:kern w:val="0"/>
                <w:sz w:val="32"/>
                <w:szCs w:val="32"/>
              </w:rPr>
              <w:t>大额报撤</w:t>
            </w:r>
            <w:proofErr w:type="gramEnd"/>
            <w:r w:rsidRPr="00F16126">
              <w:rPr>
                <w:rFonts w:ascii="方正仿宋简体" w:eastAsia="方正仿宋简体" w:cs="方正仿宋简体" w:hint="eastAsia"/>
                <w:kern w:val="0"/>
                <w:sz w:val="32"/>
                <w:szCs w:val="32"/>
              </w:rPr>
              <w:t>单行为；</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（四）实际控制关系账户合并持仓超过交易所持仓限额规定；</w:t>
            </w:r>
          </w:p>
          <w:p w:rsidR="004C770B"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lastRenderedPageBreak/>
              <w:t>（五）通过计算机程序下单可能影响交易所系统安全或者正常交易秩序的行为；</w:t>
            </w:r>
          </w:p>
          <w:p w:rsidR="004C770B" w:rsidRPr="00F16126" w:rsidRDefault="004C770B" w:rsidP="000F081B">
            <w:pPr>
              <w:spacing w:line="560" w:lineRule="exact"/>
              <w:ind w:firstLineChars="200" w:firstLine="640"/>
              <w:rPr>
                <w:rFonts w:ascii="方正仿宋简体" w:eastAsia="方正仿宋简体" w:cs="方正仿宋简体"/>
                <w:b/>
                <w:kern w:val="0"/>
                <w:sz w:val="32"/>
                <w:szCs w:val="32"/>
              </w:rPr>
            </w:pPr>
            <w:r w:rsidRPr="00F16126">
              <w:rPr>
                <w:rFonts w:ascii="方正仿宋简体" w:eastAsia="方正仿宋简体" w:cs="方正仿宋简体" w:hint="eastAsia"/>
                <w:kern w:val="0"/>
                <w:sz w:val="32"/>
                <w:szCs w:val="32"/>
              </w:rPr>
              <w:t>（六）中国证监会规定或者交易所认定的其他情形。</w:t>
            </w:r>
          </w:p>
        </w:tc>
        <w:tc>
          <w:tcPr>
            <w:tcW w:w="2380" w:type="pct"/>
            <w:tcBorders>
              <w:top w:val="single" w:sz="4" w:space="0" w:color="auto"/>
              <w:left w:val="single" w:sz="4" w:space="0" w:color="auto"/>
              <w:bottom w:val="single" w:sz="4" w:space="0" w:color="auto"/>
              <w:right w:val="single" w:sz="4" w:space="0" w:color="auto"/>
            </w:tcBorders>
          </w:tcPr>
          <w:p w:rsidR="004C770B" w:rsidRPr="00F16126" w:rsidRDefault="004C770B" w:rsidP="000F081B">
            <w:pPr>
              <w:spacing w:line="560" w:lineRule="exact"/>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lastRenderedPageBreak/>
              <w:t>第五条</w:t>
            </w:r>
            <w:r w:rsidRPr="00F16126">
              <w:rPr>
                <w:rFonts w:ascii="方正仿宋简体" w:eastAsia="方正仿宋简体" w:cs="方正仿宋简体" w:hint="eastAsia"/>
                <w:kern w:val="0"/>
                <w:sz w:val="32"/>
                <w:szCs w:val="32"/>
              </w:rPr>
              <w:t xml:space="preserve"> 期货交易出现以下情形之一的，为异常交易行为：</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（一）以自己为交易对象，大量或者多次进行自买自卖（包括一组实际控制关系账户内的客户之间的交易）；</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（二）</w:t>
            </w:r>
            <w:proofErr w:type="gramStart"/>
            <w:r w:rsidRPr="00F16126">
              <w:rPr>
                <w:rFonts w:ascii="方正仿宋简体" w:eastAsia="方正仿宋简体" w:cs="方正仿宋简体" w:hint="eastAsia"/>
                <w:kern w:val="0"/>
                <w:sz w:val="32"/>
                <w:szCs w:val="32"/>
              </w:rPr>
              <w:t>频繁报撤单行</w:t>
            </w:r>
            <w:proofErr w:type="gramEnd"/>
            <w:r w:rsidRPr="00F16126">
              <w:rPr>
                <w:rFonts w:ascii="方正仿宋简体" w:eastAsia="方正仿宋简体" w:cs="方正仿宋简体" w:hint="eastAsia"/>
                <w:kern w:val="0"/>
                <w:sz w:val="32"/>
                <w:szCs w:val="32"/>
              </w:rPr>
              <w:t>为；</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（三）</w:t>
            </w:r>
            <w:proofErr w:type="gramStart"/>
            <w:r w:rsidRPr="00F16126">
              <w:rPr>
                <w:rFonts w:ascii="方正仿宋简体" w:eastAsia="方正仿宋简体" w:cs="方正仿宋简体" w:hint="eastAsia"/>
                <w:kern w:val="0"/>
                <w:sz w:val="32"/>
                <w:szCs w:val="32"/>
              </w:rPr>
              <w:t>大额报撤</w:t>
            </w:r>
            <w:proofErr w:type="gramEnd"/>
            <w:r w:rsidRPr="00F16126">
              <w:rPr>
                <w:rFonts w:ascii="方正仿宋简体" w:eastAsia="方正仿宋简体" w:cs="方正仿宋简体" w:hint="eastAsia"/>
                <w:kern w:val="0"/>
                <w:sz w:val="32"/>
                <w:szCs w:val="32"/>
              </w:rPr>
              <w:t>单行为；</w:t>
            </w:r>
          </w:p>
          <w:p w:rsidR="004C770B" w:rsidRPr="00F16126"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（四）实际控制关系账户合并持仓超过交易所持仓限额</w:t>
            </w:r>
            <w:r w:rsidRPr="00F16126">
              <w:rPr>
                <w:rFonts w:ascii="方正仿宋简体" w:eastAsia="方正仿宋简体" w:cs="方正仿宋简体" w:hint="eastAsia"/>
                <w:kern w:val="0"/>
                <w:sz w:val="32"/>
                <w:szCs w:val="32"/>
              </w:rPr>
              <w:lastRenderedPageBreak/>
              <w:t>规定；</w:t>
            </w:r>
          </w:p>
          <w:p w:rsidR="004C770B" w:rsidRDefault="004C770B" w:rsidP="000F081B">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（五）通过计算机程序下单可能影响交易所系统安全或者正常交易秩序的行为；</w:t>
            </w:r>
          </w:p>
          <w:p w:rsidR="004C770B" w:rsidRPr="00F16126" w:rsidRDefault="004C770B" w:rsidP="000F081B">
            <w:pPr>
              <w:spacing w:line="560" w:lineRule="exact"/>
              <w:ind w:firstLineChars="200" w:firstLine="640"/>
              <w:rPr>
                <w:rFonts w:ascii="方正仿宋简体" w:eastAsia="方正仿宋简体" w:cs="方正仿宋简体"/>
                <w:b/>
                <w:kern w:val="0"/>
                <w:sz w:val="32"/>
                <w:szCs w:val="32"/>
              </w:rPr>
            </w:pPr>
            <w:r w:rsidRPr="00F16126">
              <w:rPr>
                <w:rFonts w:ascii="方正仿宋简体" w:eastAsia="方正仿宋简体" w:cs="方正仿宋简体" w:hint="eastAsia"/>
                <w:kern w:val="0"/>
                <w:sz w:val="32"/>
                <w:szCs w:val="32"/>
              </w:rPr>
              <w:t>（六）中国证监会规定或者交易所认定的其他情形。</w:t>
            </w:r>
          </w:p>
        </w:tc>
      </w:tr>
      <w:tr w:rsidR="004C770B" w:rsidRPr="00F16126" w:rsidTr="004C770B">
        <w:tc>
          <w:tcPr>
            <w:tcW w:w="2620" w:type="pct"/>
            <w:tcBorders>
              <w:top w:val="single" w:sz="4" w:space="0" w:color="auto"/>
              <w:left w:val="single" w:sz="4" w:space="0" w:color="auto"/>
              <w:bottom w:val="single" w:sz="4" w:space="0" w:color="auto"/>
              <w:right w:val="single" w:sz="4" w:space="0" w:color="auto"/>
            </w:tcBorders>
          </w:tcPr>
          <w:p w:rsidR="004C770B" w:rsidRPr="00F16126" w:rsidRDefault="004C770B" w:rsidP="000F081B">
            <w:pPr>
              <w:spacing w:line="560" w:lineRule="exact"/>
              <w:rPr>
                <w:rFonts w:ascii="方正仿宋简体" w:eastAsia="方正仿宋简体" w:cs="方正仿宋简体"/>
                <w:b/>
                <w:kern w:val="0"/>
                <w:sz w:val="32"/>
                <w:szCs w:val="32"/>
              </w:rPr>
            </w:pPr>
            <w:r w:rsidRPr="00F16126">
              <w:rPr>
                <w:rFonts w:ascii="方正仿宋简体" w:eastAsia="方正仿宋简体" w:cs="方正仿宋简体" w:hint="eastAsia"/>
                <w:b/>
                <w:kern w:val="0"/>
                <w:sz w:val="32"/>
                <w:szCs w:val="32"/>
              </w:rPr>
              <w:lastRenderedPageBreak/>
              <w:t>第七条</w:t>
            </w:r>
            <w:r w:rsidRPr="00F16126">
              <w:rPr>
                <w:rFonts w:ascii="方正仿宋简体" w:eastAsia="方正仿宋简体" w:cs="方正仿宋简体" w:hint="eastAsia"/>
                <w:kern w:val="0"/>
                <w:sz w:val="32"/>
                <w:szCs w:val="32"/>
              </w:rPr>
              <w:t xml:space="preserve"> </w:t>
            </w:r>
            <w:r w:rsidRPr="00F16126">
              <w:rPr>
                <w:rFonts w:ascii="方正仿宋简体" w:eastAsia="方正仿宋简体" w:cs="方正仿宋简体"/>
                <w:kern w:val="0"/>
                <w:sz w:val="32"/>
                <w:szCs w:val="32"/>
              </w:rPr>
              <w:t xml:space="preserve"> </w:t>
            </w:r>
            <w:r w:rsidRPr="00F16126">
              <w:rPr>
                <w:rFonts w:ascii="方正仿宋简体" w:eastAsia="方正仿宋简体" w:cs="方正仿宋简体" w:hint="eastAsia"/>
                <w:b/>
                <w:kern w:val="0"/>
                <w:sz w:val="32"/>
                <w:szCs w:val="32"/>
                <w:shd w:val="pct15" w:color="auto" w:fill="FFFFFF"/>
              </w:rPr>
              <w:t>非期货公司</w:t>
            </w:r>
            <w:r w:rsidRPr="00F16126">
              <w:rPr>
                <w:rFonts w:ascii="方正仿宋简体" w:eastAsia="方正仿宋简体" w:cs="方正仿宋简体"/>
                <w:b/>
                <w:kern w:val="0"/>
                <w:sz w:val="32"/>
                <w:szCs w:val="32"/>
                <w:shd w:val="pct15" w:color="auto" w:fill="FFFFFF"/>
              </w:rPr>
              <w:t>会员</w:t>
            </w:r>
            <w:r w:rsidRPr="00F16126">
              <w:rPr>
                <w:rFonts w:ascii="方正仿宋简体" w:eastAsia="方正仿宋简体" w:cs="方正仿宋简体" w:hint="eastAsia"/>
                <w:b/>
                <w:kern w:val="0"/>
                <w:sz w:val="32"/>
                <w:szCs w:val="32"/>
                <w:shd w:val="pct15" w:color="auto" w:fill="FFFFFF"/>
              </w:rPr>
              <w:t>、</w:t>
            </w:r>
            <w:r w:rsidRPr="00F16126">
              <w:rPr>
                <w:rFonts w:ascii="方正仿宋简体" w:eastAsia="方正仿宋简体" w:cs="方正仿宋简体" w:hint="eastAsia"/>
                <w:kern w:val="0"/>
                <w:sz w:val="32"/>
                <w:szCs w:val="32"/>
              </w:rPr>
              <w:t>客户出现本办法第五条所列异常交易行为之一的，交易所可以采取电话提醒、要求报告情况、要求提交书面承诺、列入监管关注名单、约见谈话、限制开仓等措施；</w:t>
            </w:r>
            <w:r w:rsidRPr="00F16126">
              <w:rPr>
                <w:rFonts w:ascii="方正仿宋简体" w:eastAsia="方正仿宋简体" w:hint="eastAsia"/>
                <w:kern w:val="0"/>
                <w:sz w:val="32"/>
                <w:szCs w:val="32"/>
              </w:rPr>
              <w:t>情节严重的，交易所可以根据《中国金融期货交易所交易规则》和《中国金融期货交易所违规违约处理办法》等规定采取相应措施；涉嫌违反法律、法规、规章的，交易所提请中国证监会进行立案调查。</w:t>
            </w:r>
          </w:p>
        </w:tc>
        <w:tc>
          <w:tcPr>
            <w:tcW w:w="2380" w:type="pct"/>
            <w:tcBorders>
              <w:top w:val="single" w:sz="4" w:space="0" w:color="auto"/>
              <w:left w:val="single" w:sz="4" w:space="0" w:color="auto"/>
              <w:bottom w:val="single" w:sz="4" w:space="0" w:color="auto"/>
              <w:right w:val="single" w:sz="4" w:space="0" w:color="auto"/>
            </w:tcBorders>
          </w:tcPr>
          <w:p w:rsidR="004C770B" w:rsidRPr="00F16126" w:rsidRDefault="004C770B" w:rsidP="000F081B">
            <w:pPr>
              <w:spacing w:line="560" w:lineRule="exact"/>
              <w:rPr>
                <w:rFonts w:ascii="方正仿宋简体" w:eastAsia="方正仿宋简体" w:cs="方正仿宋简体"/>
                <w:b/>
                <w:kern w:val="0"/>
                <w:sz w:val="32"/>
                <w:szCs w:val="32"/>
              </w:rPr>
            </w:pPr>
            <w:r w:rsidRPr="00F16126">
              <w:rPr>
                <w:rFonts w:ascii="方正仿宋简体" w:eastAsia="方正仿宋简体" w:cs="方正仿宋简体" w:hint="eastAsia"/>
                <w:b/>
                <w:kern w:val="0"/>
                <w:sz w:val="32"/>
                <w:szCs w:val="32"/>
              </w:rPr>
              <w:t>第七条</w:t>
            </w:r>
            <w:r w:rsidRPr="00F16126">
              <w:rPr>
                <w:rFonts w:ascii="方正仿宋简体" w:eastAsia="方正仿宋简体" w:cs="方正仿宋简体" w:hint="eastAsia"/>
                <w:kern w:val="0"/>
                <w:sz w:val="32"/>
                <w:szCs w:val="32"/>
              </w:rPr>
              <w:t xml:space="preserve"> </w:t>
            </w:r>
            <w:r w:rsidRPr="00F16126">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客户出现本办法第五条所列异常交易行为之一的，交易所可以采取电话提醒、要求报告情况、要求提交书面承诺、列入监管关注名单、约见谈话、限制开仓等措施；</w:t>
            </w:r>
            <w:r w:rsidRPr="00F16126">
              <w:rPr>
                <w:rFonts w:ascii="方正仿宋简体" w:eastAsia="方正仿宋简体" w:hint="eastAsia"/>
                <w:kern w:val="0"/>
                <w:sz w:val="32"/>
                <w:szCs w:val="32"/>
              </w:rPr>
              <w:t>情节严重的，交易所可以根据《中国金融期货交易所交易规则》和《中国金融期货交易所违规违约处理办法》等规定采取相应措施；涉嫌违反法律、法规、规章的，交易所提请中国证监会进行立案调查。</w:t>
            </w:r>
          </w:p>
        </w:tc>
      </w:tr>
    </w:tbl>
    <w:p w:rsidR="009715F3" w:rsidRPr="00F16126" w:rsidRDefault="009715F3" w:rsidP="000F081B">
      <w:pPr>
        <w:spacing w:line="560" w:lineRule="exact"/>
        <w:ind w:firstLine="640"/>
        <w:rPr>
          <w:rFonts w:ascii="Calibri" w:hAnsi="Calibri"/>
          <w:szCs w:val="22"/>
        </w:rPr>
      </w:pPr>
    </w:p>
    <w:sectPr w:rsidR="009715F3" w:rsidRPr="00F16126"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0B" w:rsidRDefault="004C770B" w:rsidP="004C770B">
      <w:r>
        <w:separator/>
      </w:r>
    </w:p>
  </w:endnote>
  <w:endnote w:type="continuationSeparator" w:id="0">
    <w:p w:rsidR="004C770B" w:rsidRDefault="004C770B" w:rsidP="004C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0B" w:rsidRDefault="004C77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009276"/>
      <w:docPartObj>
        <w:docPartGallery w:val="Page Numbers (Bottom of Page)"/>
        <w:docPartUnique/>
      </w:docPartObj>
    </w:sdtPr>
    <w:sdtContent>
      <w:p w:rsidR="00C212BF" w:rsidRDefault="00C212BF">
        <w:pPr>
          <w:pStyle w:val="a4"/>
          <w:jc w:val="center"/>
        </w:pPr>
        <w:r>
          <w:fldChar w:fldCharType="begin"/>
        </w:r>
        <w:r>
          <w:instrText>PAGE   \* MERGEFORMAT</w:instrText>
        </w:r>
        <w:r>
          <w:fldChar w:fldCharType="separate"/>
        </w:r>
        <w:r w:rsidRPr="00C212BF">
          <w:rPr>
            <w:noProof/>
            <w:lang w:val="zh-CN"/>
          </w:rPr>
          <w:t>1</w:t>
        </w:r>
        <w:r>
          <w:fldChar w:fldCharType="end"/>
        </w:r>
      </w:p>
    </w:sdtContent>
  </w:sdt>
  <w:p w:rsidR="004C770B" w:rsidRDefault="004C77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0B" w:rsidRDefault="004C77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0B" w:rsidRDefault="004C770B" w:rsidP="004C770B">
      <w:r>
        <w:separator/>
      </w:r>
    </w:p>
  </w:footnote>
  <w:footnote w:type="continuationSeparator" w:id="0">
    <w:p w:rsidR="004C770B" w:rsidRDefault="004C770B" w:rsidP="004C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0B" w:rsidRDefault="004C77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0B" w:rsidRPr="004C770B" w:rsidRDefault="004C770B" w:rsidP="004C77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0B" w:rsidRDefault="004C77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F3"/>
    <w:rsid w:val="000F081B"/>
    <w:rsid w:val="004C770B"/>
    <w:rsid w:val="00883F4D"/>
    <w:rsid w:val="009715F3"/>
    <w:rsid w:val="00AC6495"/>
    <w:rsid w:val="00C212BF"/>
    <w:rsid w:val="00C8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20808E0-1591-4C5D-8E1E-997BBAEA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5F3"/>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770B"/>
    <w:rPr>
      <w:rFonts w:eastAsia="宋体"/>
      <w:sz w:val="18"/>
      <w:szCs w:val="18"/>
    </w:rPr>
  </w:style>
  <w:style w:type="paragraph" w:styleId="a4">
    <w:name w:val="footer"/>
    <w:basedOn w:val="a"/>
    <w:link w:val="Char0"/>
    <w:uiPriority w:val="99"/>
    <w:unhideWhenUsed/>
    <w:rsid w:val="004C770B"/>
    <w:pPr>
      <w:tabs>
        <w:tab w:val="center" w:pos="4153"/>
        <w:tab w:val="right" w:pos="8306"/>
      </w:tabs>
      <w:snapToGrid w:val="0"/>
      <w:jc w:val="left"/>
    </w:pPr>
    <w:rPr>
      <w:sz w:val="18"/>
      <w:szCs w:val="18"/>
    </w:rPr>
  </w:style>
  <w:style w:type="character" w:customStyle="1" w:styleId="Char0">
    <w:name w:val="页脚 Char"/>
    <w:basedOn w:val="a0"/>
    <w:link w:val="a4"/>
    <w:uiPriority w:val="99"/>
    <w:rsid w:val="004C770B"/>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5</cp:revision>
  <dcterms:created xsi:type="dcterms:W3CDTF">2020-02-21T03:22:00Z</dcterms:created>
  <dcterms:modified xsi:type="dcterms:W3CDTF">2020-02-24T06:39:00Z</dcterms:modified>
</cp:coreProperties>
</file>