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r>
        <w:drawing>
          <wp:anchor distT="0" distB="0" distL="114300" distR="114300" simplePos="0" relativeHeight="251655168" behindDoc="1" locked="0" layoutInCell="1" allowOverlap="1">
            <wp:simplePos x="0" y="0"/>
            <wp:positionH relativeFrom="column">
              <wp:posOffset>-1190625</wp:posOffset>
            </wp:positionH>
            <wp:positionV relativeFrom="paragraph">
              <wp:posOffset>-981075</wp:posOffset>
            </wp:positionV>
            <wp:extent cx="7630160" cy="10797540"/>
            <wp:effectExtent l="19050" t="0" r="8890" b="0"/>
            <wp:wrapNone/>
            <wp:docPr id="15" name="Picture 2" descr="新vi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新vi封面"/>
                    <pic:cNvPicPr>
                      <a:picLocks noChangeAspect="1" noChangeArrowheads="1"/>
                    </pic:cNvPicPr>
                  </pic:nvPicPr>
                  <pic:blipFill>
                    <a:blip r:embed="rId7" cstate="print"/>
                    <a:srcRect/>
                    <a:stretch>
                      <a:fillRect/>
                    </a:stretch>
                  </pic:blipFill>
                  <pic:spPr>
                    <a:xfrm>
                      <a:off x="0" y="0"/>
                      <a:ext cx="7630160" cy="1079754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3983355</wp:posOffset>
            </wp:positionH>
            <wp:positionV relativeFrom="paragraph">
              <wp:posOffset>-640080</wp:posOffset>
            </wp:positionV>
            <wp:extent cx="2074545" cy="739140"/>
            <wp:effectExtent l="0" t="0" r="0" b="0"/>
            <wp:wrapNone/>
            <wp:docPr id="14" name="Picture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广期新vi短称(越秀新版)"/>
                    <pic:cNvPicPr>
                      <a:picLocks noChangeAspect="1" noChangeArrowheads="1"/>
                    </pic:cNvPicPr>
                  </pic:nvPicPr>
                  <pic:blipFill>
                    <a:blip r:embed="rId8" cstate="print"/>
                    <a:srcRect/>
                    <a:stretch>
                      <a:fillRect/>
                    </a:stretch>
                  </pic:blipFill>
                  <pic:spPr>
                    <a:xfrm>
                      <a:off x="0" y="0"/>
                      <a:ext cx="2074545" cy="739140"/>
                    </a:xfrm>
                    <a:prstGeom prst="rect">
                      <a:avLst/>
                    </a:prstGeom>
                    <a:noFill/>
                    <a:ln w="9525">
                      <a:noFill/>
                      <a:miter lim="800000"/>
                      <a:headEnd/>
                      <a:tailEnd/>
                    </a:ln>
                  </pic:spPr>
                </pic:pic>
              </a:graphicData>
            </a:graphic>
          </wp:anchor>
        </w:drawing>
      </w:r>
    </w:p>
    <w:p>
      <w:pPr>
        <w:pStyle w:val="23"/>
        <w:spacing w:line="360" w:lineRule="auto"/>
        <w:rPr>
          <w:rFonts w:ascii="新宋体" w:hAnsi="新宋体" w:eastAsia="新宋体"/>
          <w:color w:val="FFFFFF"/>
          <w:kern w:val="2"/>
          <w:sz w:val="36"/>
          <w:szCs w:val="36"/>
        </w:rPr>
      </w:pPr>
    </w:p>
    <w:p>
      <w:pPr>
        <w:pStyle w:val="23"/>
        <w:tabs>
          <w:tab w:val="left" w:pos="5145"/>
        </w:tabs>
        <w:spacing w:line="360" w:lineRule="auto"/>
        <w:jc w:val="left"/>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r>
        <w:rPr>
          <w:color w:val="FFFFFF"/>
        </w:rPr>
        <w:pict>
          <v:shape id="Text Box 4" o:spid="_x0000_s1026" o:spt="202" type="#_x0000_t202" style="position:absolute;left:0pt;margin-left:-69pt;margin-top:0pt;height:109.2pt;width:558pt;z-index:251656192;mso-width-relative:page;mso-height-relative:page;" filled="f" stroked="f" coordsize="21600,21600" o:gfxdata="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41eS9cAAAAJAQAADwAAAAAAAAABACAAAAAiAAAAZHJzL2Rvd25y&#10;ZXYueG1sUEsBAhQAFAAAAAgAh07iQBeivuuNAQAAFwMAAA4AAAAAAAAAAQAgAAAAJgEAAGRycy9l&#10;Mm9Eb2MueG1sUEsFBgAAAAAGAAYAWQEAACUFAAAAAA==&#10;">
            <v:path/>
            <v:fill on="f" focussize="0,0"/>
            <v:stroke on="f" joinstyle="miter"/>
            <v:imagedata o:title=""/>
            <o:lock v:ext="edit"/>
            <v:textbox>
              <w:txbxContent>
                <w:p>
                  <w:pPr>
                    <w:jc w:val="center"/>
                    <w:rPr>
                      <w:rFonts w:hint="eastAsia" w:ascii="黑体" w:hAnsi="微软雅黑" w:eastAsia="黑体"/>
                      <w:b/>
                      <w:color w:val="422100"/>
                      <w:sz w:val="36"/>
                      <w:szCs w:val="36"/>
                      <w:lang w:val="en-US" w:eastAsia="zh-CN"/>
                    </w:rPr>
                  </w:pPr>
                  <w:r>
                    <w:rPr>
                      <w:rFonts w:hint="eastAsia" w:ascii="黑体" w:hAnsi="微软雅黑" w:eastAsia="黑体"/>
                      <w:b/>
                      <w:bCs/>
                      <w:color w:val="422100"/>
                      <w:sz w:val="60"/>
                      <w:szCs w:val="60"/>
                      <w:lang w:val="en-US" w:eastAsia="zh-CN"/>
                    </w:rPr>
                    <w:t xml:space="preserve">场内期权新添成员 </w:t>
                  </w:r>
                  <w:r>
                    <w:rPr>
                      <w:rFonts w:hint="eastAsia" w:ascii="黑体" w:hAnsi="微软雅黑" w:eastAsia="黑体"/>
                      <w:b/>
                      <w:bCs/>
                      <w:color w:val="422100"/>
                      <w:sz w:val="60"/>
                      <w:szCs w:val="60"/>
                    </w:rPr>
                    <w:t>铜期权上市</w:t>
                  </w:r>
                  <w:r>
                    <w:rPr>
                      <w:rFonts w:hint="eastAsia" w:ascii="黑体" w:hAnsi="微软雅黑" w:eastAsia="黑体"/>
                      <w:b/>
                      <w:bCs/>
                      <w:color w:val="422100"/>
                      <w:sz w:val="60"/>
                      <w:szCs w:val="60"/>
                      <w:lang w:val="en-US" w:eastAsia="zh-CN"/>
                    </w:rPr>
                    <w:t>知多少</w:t>
                  </w:r>
                </w:p>
              </w:txbxContent>
            </v:textbox>
          </v:shape>
        </w:pict>
      </w: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微软雅黑" w:hAnsi="微软雅黑" w:eastAsia="微软雅黑"/>
          <w:color w:val="FFFFFF"/>
          <w:kern w:val="2"/>
          <w:sz w:val="36"/>
          <w:szCs w:val="36"/>
        </w:rPr>
      </w:pPr>
    </w:p>
    <w:p>
      <w:pPr>
        <w:pStyle w:val="23"/>
        <w:spacing w:line="360" w:lineRule="auto"/>
        <w:rPr>
          <w:rFonts w:ascii="新宋体" w:hAnsi="新宋体" w:eastAsia="新宋体"/>
          <w:color w:val="FFFFFF"/>
          <w:kern w:val="2"/>
          <w:sz w:val="36"/>
          <w:szCs w:val="36"/>
        </w:rPr>
      </w:pPr>
      <w:r>
        <w:rPr>
          <w:rFonts w:ascii="新宋体" w:hAnsi="新宋体" w:eastAsia="新宋体"/>
          <w:color w:val="FFFFFF"/>
          <w:kern w:val="2"/>
          <w:sz w:val="36"/>
          <w:szCs w:val="36"/>
        </w:rPr>
        <w:pict>
          <v:shape id="Text Box 8" o:spid="_x0000_s1028" o:spt="202" type="#_x0000_t202" style="position:absolute;left:0pt;margin-left:-64.95pt;margin-top:7.95pt;height:218.25pt;width:537.55pt;z-index:251660288;mso-width-relative:page;mso-height-relative:page;" filled="f" stroked="f" coordsize="21600,21600" o:gfxdata="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iiScdcAAAALAQAADwAAAAAAAAABACAAAAAiAAAAZHJzL2Rvd25yZXYueG1sUEsBAhQA&#10;FAAAAAgAh07iQNU2JBnzAQAA1gMAAA4AAAAAAAAAAQAgAAAAJgEAAGRycy9lMm9Eb2MueG1sUEsF&#10;BgAAAAAGAAYAWQEAAIsFAAAAAA==&#10;">
            <v:path/>
            <v:fill on="f" focussize="0,0"/>
            <v:stroke on="f" joinstyle="miter"/>
            <v:imagedata o:title=""/>
            <o:lock v:ext="edit"/>
            <v:textbox>
              <w:txbxContent>
                <w:p>
                  <w:pPr>
                    <w:autoSpaceDE w:val="0"/>
                    <w:autoSpaceDN w:val="0"/>
                    <w:adjustRightInd w:val="0"/>
                    <w:jc w:val="center"/>
                    <w:rPr>
                      <w:rFonts w:ascii="黑体" w:eastAsia="黑体"/>
                      <w:b/>
                      <w:kern w:val="0"/>
                      <w:sz w:val="28"/>
                      <w:szCs w:val="28"/>
                    </w:rPr>
                  </w:pPr>
                  <w:r>
                    <w:rPr>
                      <w:rFonts w:hint="eastAsia" w:ascii="黑体" w:eastAsia="黑体"/>
                      <w:b/>
                      <w:kern w:val="0"/>
                      <w:sz w:val="28"/>
                      <w:szCs w:val="28"/>
                    </w:rPr>
                    <w:t>广州期货研究所 金融衍生品组</w:t>
                  </w:r>
                </w:p>
                <w:p>
                  <w:pPr>
                    <w:jc w:val="center"/>
                    <w:rPr>
                      <w:szCs w:val="84"/>
                    </w:rPr>
                  </w:pPr>
                  <w:r>
                    <w:rPr>
                      <w:rFonts w:hint="eastAsia" w:ascii="黑体" w:eastAsia="黑体"/>
                      <w:b/>
                      <w:kern w:val="0"/>
                      <w:sz w:val="28"/>
                      <w:szCs w:val="28"/>
                    </w:rPr>
                    <w:t>唐粤川 F3041438</w:t>
                  </w:r>
                </w:p>
              </w:txbxContent>
            </v:textbox>
          </v:shape>
        </w:pict>
      </w: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p>
    <w:p>
      <w:pPr>
        <w:pStyle w:val="23"/>
        <w:spacing w:line="360" w:lineRule="auto"/>
        <w:rPr>
          <w:rFonts w:ascii="新宋体" w:hAnsi="新宋体" w:eastAsia="新宋体"/>
          <w:color w:val="FFFFFF"/>
          <w:kern w:val="2"/>
          <w:sz w:val="36"/>
          <w:szCs w:val="36"/>
        </w:rPr>
      </w:pPr>
      <w:r>
        <w:rPr>
          <w:rFonts w:ascii="新宋体" w:hAnsi="新宋体" w:eastAsia="新宋体"/>
          <w:color w:val="FFFFFF"/>
          <w:kern w:val="2"/>
          <w:sz w:val="36"/>
          <w:szCs w:val="36"/>
        </w:rPr>
        <w:pict>
          <v:shape id="Text Box 6" o:spid="_x0000_s1027" o:spt="202" type="#_x0000_t202" style="position:absolute;left:0pt;margin-left:160.5pt;margin-top:5.25pt;height:39pt;width:225pt;z-index:251658240;mso-width-relative:page;mso-height-relative:page;" filled="f" stroked="f" coordsize="21600,21600" o:gfxdata="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u+Frp9YAAAAJAQAADwAAAAAAAAABACAAAAAiAAAAZHJzL2Rvd25yZXYu&#10;eG1sUEsBAhQAFAAAAAgAh07iQFAvgMuLAQAAFgMAAA4AAAAAAAAAAQAgAAAAJQEAAGRycy9lMm9E&#10;b2MueG1sUEsFBgAAAAAGAAYAWQEAACIFAAAAAA==&#10;">
            <v:path/>
            <v:fill on="f" focussize="0,0"/>
            <v:stroke on="f" joinstyle="miter"/>
            <v:imagedata o:title=""/>
            <o:lock v:ext="edit"/>
            <v:textbox>
              <w:txbxContent>
                <w:p>
                  <w:pPr>
                    <w:rPr>
                      <w:rFonts w:ascii="Arial" w:hAnsi="Arial" w:cs="Arial"/>
                      <w:color w:val="FFFFFF"/>
                      <w:sz w:val="20"/>
                      <w:lang w:val="de-DE"/>
                    </w:rPr>
                  </w:pPr>
                  <w:r>
                    <w:rPr>
                      <w:rFonts w:ascii="Arial" w:hAnsi="Arial" w:cs="Arial"/>
                      <w:color w:val="FFFFFF"/>
                      <w:sz w:val="20"/>
                      <w:lang w:val="de-DE"/>
                    </w:rPr>
                    <w:t>(8620)22139800 │ www.gzf2010.com.cn</w:t>
                  </w:r>
                </w:p>
              </w:txbxContent>
            </v:textbox>
          </v:shape>
        </w:pict>
      </w:r>
      <w:r>
        <w:drawing>
          <wp:anchor distT="0" distB="0" distL="114300" distR="114300" simplePos="0" relativeHeight="251659264" behindDoc="0" locked="0" layoutInCell="1" allowOverlap="1">
            <wp:simplePos x="0" y="0"/>
            <wp:positionH relativeFrom="column">
              <wp:posOffset>1771650</wp:posOffset>
            </wp:positionH>
            <wp:positionV relativeFrom="paragraph">
              <wp:posOffset>158115</wp:posOffset>
            </wp:positionV>
            <wp:extent cx="323850" cy="129540"/>
            <wp:effectExtent l="0" t="0" r="0" b="0"/>
            <wp:wrapNone/>
            <wp:docPr id="13" name="Picture 7" descr="dian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dianhua"/>
                    <pic:cNvPicPr>
                      <a:picLocks noChangeAspect="1" noChangeArrowheads="1"/>
                    </pic:cNvPicPr>
                  </pic:nvPicPr>
                  <pic:blipFill>
                    <a:blip r:embed="rId9" cstate="print"/>
                    <a:srcRect/>
                    <a:stretch>
                      <a:fillRect/>
                    </a:stretch>
                  </pic:blipFill>
                  <pic:spPr>
                    <a:xfrm>
                      <a:off x="0" y="0"/>
                      <a:ext cx="323850" cy="129540"/>
                    </a:xfrm>
                    <a:prstGeom prst="rect">
                      <a:avLst/>
                    </a:prstGeom>
                    <a:noFill/>
                    <a:ln w="9525">
                      <a:noFill/>
                      <a:miter lim="800000"/>
                      <a:headEnd/>
                      <a:tailEnd/>
                    </a:ln>
                  </pic:spPr>
                </pic:pic>
              </a:graphicData>
            </a:graphic>
          </wp:anchor>
        </w:drawing>
      </w:r>
    </w:p>
    <w:p>
      <w:pPr>
        <w:rPr>
          <w:rFonts w:ascii="新宋体" w:hAnsi="新宋体" w:eastAsia="新宋体"/>
          <w:color w:val="FFFFFF"/>
          <w:sz w:val="36"/>
          <w:szCs w:val="36"/>
        </w:rPr>
      </w:pPr>
    </w:p>
    <w:p>
      <w:pPr>
        <w:rPr>
          <w:rFonts w:ascii="宋体" w:hAnsi="宋体"/>
          <w:b/>
          <w:bCs/>
          <w:sz w:val="24"/>
        </w:rPr>
      </w:pPr>
      <w:bookmarkStart w:id="0" w:name="_GoBack"/>
      <w:bookmarkEnd w:id="0"/>
    </w:p>
    <w:p>
      <w:pPr>
        <w:ind w:left="3"/>
        <w:jc w:val="center"/>
        <w:rPr>
          <w:rFonts w:ascii="宋体" w:hAnsi="宋体"/>
          <w:b/>
          <w:bCs/>
          <w:szCs w:val="21"/>
        </w:rPr>
      </w:pPr>
      <w:r>
        <w:rPr>
          <w:rFonts w:hint="eastAsia" w:ascii="宋体" w:hAnsi="宋体"/>
          <w:b/>
          <w:bCs/>
          <w:sz w:val="28"/>
          <w:szCs w:val="21"/>
          <w:lang w:val="en-US" w:eastAsia="zh-CN"/>
        </w:rPr>
        <w:t xml:space="preserve">场内期权新添成员 </w:t>
      </w:r>
      <w:r>
        <w:rPr>
          <w:rFonts w:hint="eastAsia" w:ascii="宋体" w:hAnsi="宋体"/>
          <w:b/>
          <w:bCs/>
          <w:sz w:val="28"/>
          <w:szCs w:val="21"/>
        </w:rPr>
        <w:t>铜期权上市</w:t>
      </w:r>
      <w:r>
        <w:rPr>
          <w:rFonts w:hint="eastAsia" w:ascii="宋体" w:hAnsi="宋体"/>
          <w:b/>
          <w:bCs/>
          <w:sz w:val="28"/>
          <w:szCs w:val="21"/>
          <w:lang w:val="en-US" w:eastAsia="zh-CN"/>
        </w:rPr>
        <w:t>知多少</w:t>
      </w:r>
      <w:r>
        <w:rPr>
          <w:rFonts w:hint="eastAsia" w:ascii="宋体" w:hAnsi="宋体"/>
          <w:b/>
          <w:bCs/>
          <w:szCs w:val="21"/>
        </w:rPr>
        <w:t xml:space="preserve">                       </w:t>
      </w:r>
    </w:p>
    <w:p/>
    <w:p>
      <w:pPr>
        <w:spacing w:line="360" w:lineRule="auto"/>
        <w:ind w:firstLine="420"/>
        <w:rPr>
          <w:rFonts w:ascii="宋体" w:hAnsi="宋体" w:cs="宋体"/>
        </w:rPr>
      </w:pPr>
      <w:r>
        <w:rPr>
          <w:rFonts w:hint="eastAsia" w:ascii="宋体" w:hAnsi="宋体" w:cs="宋体"/>
        </w:rPr>
        <w:t>2018年8月31日，中国证监会正式批准上海期货交易所（以下简称上期所）开展铜期权交易，并于2018年9月21日开始挂牌上市。在经过3个多月的仿真交易测试和相关的市场演练之后，我国的首个工业品期权终于即将面世，场内期权家族再添新成员。</w:t>
      </w:r>
    </w:p>
    <w:p/>
    <w:p>
      <w:pPr>
        <w:spacing w:line="360" w:lineRule="auto"/>
        <w:rPr>
          <w:rFonts w:ascii="宋体" w:hAnsi="宋体"/>
          <w:b/>
          <w:szCs w:val="21"/>
        </w:rPr>
      </w:pPr>
      <w:r>
        <w:rPr>
          <w:rFonts w:hint="eastAsia" w:ascii="宋体" w:hAnsi="宋体"/>
          <w:b/>
          <w:szCs w:val="21"/>
        </w:rPr>
        <w:t>一、主要条款解读</w:t>
      </w:r>
    </w:p>
    <w:p>
      <w:pPr>
        <w:spacing w:line="360" w:lineRule="auto"/>
        <w:ind w:firstLine="420"/>
        <w:rPr>
          <w:rFonts w:ascii="宋体" w:hAnsi="宋体"/>
          <w:szCs w:val="21"/>
        </w:rPr>
      </w:pPr>
      <w:r>
        <w:rPr>
          <w:rFonts w:hint="eastAsia" w:ascii="宋体" w:hAnsi="宋体"/>
          <w:szCs w:val="21"/>
        </w:rPr>
        <w:t>根据目前公布的铜期货期权合约规则征求意见稿，铜期权的合约设计与其它商品期权较为接近。铜期权的标的物为铜期货合约，一手铜期权在到期后行权能得到一手铜期货合约，市场上交易的最小变动价位为1元/吨，涨跌停板幅度和铜期货的涨跌停板幅度相同。期权分为看涨期权和看跌期权两种类型，交易代码会以CU-合约月份-C/P-行权价格的形式呈现（C代表看涨，P代表看跌），如CU1810C50000指的是2018年10月到期，执行价在50000元的铜看涨期权。行权方式是欧式，期权的买方只能在期权的到期日当日提出行权申请，这点与豆粕、白糖期权的美式（到期日之前任意一天都可行权）行权有较大不同。最后交易日为到期月份前一个月的倒数第五个交易日，如10月到期的期权会在9月底的最后一周就进行行权，这么做也是为了方便期货下一个月的交割。其他的如合约月份、交易时间等条款铜期权都与期货上的规则一致。</w:t>
      </w:r>
    </w:p>
    <w:p>
      <w:pPr>
        <w:spacing w:line="360" w:lineRule="auto"/>
        <w:ind w:firstLine="420"/>
        <w:jc w:val="center"/>
        <w:rPr>
          <w:rFonts w:ascii="宋体" w:hAnsi="宋体"/>
          <w:b/>
          <w:bCs/>
          <w:szCs w:val="21"/>
        </w:rPr>
      </w:pPr>
      <w:r>
        <w:rPr>
          <w:rFonts w:hint="eastAsia" w:ascii="宋体" w:hAnsi="宋体"/>
          <w:b/>
          <w:bCs/>
          <w:szCs w:val="21"/>
        </w:rPr>
        <w:t>铜期货期权与铜期货主要条款比较</w:t>
      </w:r>
    </w:p>
    <w:tbl>
      <w:tblPr>
        <w:tblStyle w:val="17"/>
        <w:tblW w:w="8466" w:type="dxa"/>
        <w:jc w:val="center"/>
        <w:tblInd w:w="0" w:type="dxa"/>
        <w:tblLayout w:type="fixed"/>
        <w:tblCellMar>
          <w:top w:w="0" w:type="dxa"/>
          <w:left w:w="108" w:type="dxa"/>
          <w:bottom w:w="0" w:type="dxa"/>
          <w:right w:w="108" w:type="dxa"/>
        </w:tblCellMar>
      </w:tblPr>
      <w:tblGrid>
        <w:gridCol w:w="2088"/>
        <w:gridCol w:w="3189"/>
        <w:gridCol w:w="3189"/>
      </w:tblGrid>
      <w:tr>
        <w:tblPrEx>
          <w:tblLayout w:type="fixed"/>
          <w:tblCellMar>
            <w:top w:w="0" w:type="dxa"/>
            <w:left w:w="108" w:type="dxa"/>
            <w:bottom w:w="0" w:type="dxa"/>
            <w:right w:w="108" w:type="dxa"/>
          </w:tblCellMar>
        </w:tblPrEx>
        <w:trPr>
          <w:cantSplit/>
          <w:trHeight w:val="284" w:hRule="atLeast"/>
          <w:jc w:val="center"/>
        </w:trPr>
        <w:tc>
          <w:tcPr>
            <w:tcW w:w="2088" w:type="dxa"/>
            <w:tcBorders>
              <w:top w:val="single" w:color="000000" w:sz="12"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p>
        </w:tc>
        <w:tc>
          <w:tcPr>
            <w:tcW w:w="3189" w:type="dxa"/>
            <w:tcBorders>
              <w:top w:val="single" w:color="000000" w:sz="12"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b/>
                <w:bCs/>
                <w:szCs w:val="21"/>
              </w:rPr>
              <w:t>阴极铜期货期权</w:t>
            </w:r>
          </w:p>
        </w:tc>
        <w:tc>
          <w:tcPr>
            <w:tcW w:w="3189" w:type="dxa"/>
            <w:tcBorders>
              <w:top w:val="single" w:color="000000" w:sz="12"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b/>
                <w:bCs/>
                <w:szCs w:val="21"/>
              </w:rPr>
              <w:t>阴极铜期货</w:t>
            </w:r>
          </w:p>
        </w:tc>
      </w:tr>
      <w:tr>
        <w:tblPrEx>
          <w:tblLayout w:type="fixed"/>
          <w:tblCellMar>
            <w:top w:w="0" w:type="dxa"/>
            <w:left w:w="108" w:type="dxa"/>
            <w:bottom w:w="0" w:type="dxa"/>
            <w:right w:w="108" w:type="dxa"/>
          </w:tblCellMar>
        </w:tblPrEx>
        <w:trPr>
          <w:cantSplit/>
          <w:trHeight w:val="284" w:hRule="atLeast"/>
          <w:jc w:val="center"/>
        </w:trPr>
        <w:tc>
          <w:tcPr>
            <w:tcW w:w="2088" w:type="dxa"/>
            <w:tcBorders>
              <w:top w:val="single" w:color="000000" w:sz="12"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合约标的物</w:t>
            </w:r>
          </w:p>
        </w:tc>
        <w:tc>
          <w:tcPr>
            <w:tcW w:w="3189" w:type="dxa"/>
            <w:tcBorders>
              <w:top w:val="single" w:color="000000" w:sz="12"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阴极铜期货合约（5吨）</w:t>
            </w:r>
          </w:p>
        </w:tc>
        <w:tc>
          <w:tcPr>
            <w:tcW w:w="3189" w:type="dxa"/>
            <w:tcBorders>
              <w:top w:val="single" w:color="000000" w:sz="12"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阴极铜</w:t>
            </w:r>
          </w:p>
        </w:tc>
      </w:tr>
      <w:tr>
        <w:tblPrEx>
          <w:tblLayout w:type="fixed"/>
          <w:tblCellMar>
            <w:top w:w="0" w:type="dxa"/>
            <w:left w:w="108" w:type="dxa"/>
            <w:bottom w:w="0" w:type="dxa"/>
            <w:right w:w="108" w:type="dxa"/>
          </w:tblCellMar>
        </w:tblPrEx>
        <w:trPr>
          <w:cantSplit/>
          <w:trHeight w:val="284" w:hRule="atLeast"/>
          <w:jc w:val="center"/>
        </w:trPr>
        <w:tc>
          <w:tcPr>
            <w:tcW w:w="2088" w:type="dxa"/>
            <w:tcBorders>
              <w:top w:val="single" w:color="000000" w:sz="8"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合约类型</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看涨期权，看跌期权</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w:t>
            </w:r>
          </w:p>
        </w:tc>
      </w:tr>
      <w:tr>
        <w:tblPrEx>
          <w:tblLayout w:type="fixed"/>
          <w:tblCellMar>
            <w:top w:w="0" w:type="dxa"/>
            <w:left w:w="108" w:type="dxa"/>
            <w:bottom w:w="0" w:type="dxa"/>
            <w:right w:w="108" w:type="dxa"/>
          </w:tblCellMar>
        </w:tblPrEx>
        <w:trPr>
          <w:cantSplit/>
          <w:trHeight w:val="284" w:hRule="atLeast"/>
          <w:jc w:val="center"/>
        </w:trPr>
        <w:tc>
          <w:tcPr>
            <w:tcW w:w="2088" w:type="dxa"/>
            <w:tcBorders>
              <w:top w:val="single" w:color="000000" w:sz="8"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交易单位</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1手阴极铜期货合约</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5吨/手</w:t>
            </w:r>
          </w:p>
        </w:tc>
      </w:tr>
      <w:tr>
        <w:tblPrEx>
          <w:tblLayout w:type="fixed"/>
          <w:tblCellMar>
            <w:top w:w="0" w:type="dxa"/>
            <w:left w:w="108" w:type="dxa"/>
            <w:bottom w:w="0" w:type="dxa"/>
            <w:right w:w="108" w:type="dxa"/>
          </w:tblCellMar>
        </w:tblPrEx>
        <w:trPr>
          <w:cantSplit/>
          <w:trHeight w:val="284" w:hRule="atLeast"/>
          <w:jc w:val="center"/>
        </w:trPr>
        <w:tc>
          <w:tcPr>
            <w:tcW w:w="2088" w:type="dxa"/>
            <w:tcBorders>
              <w:top w:val="single" w:color="000000" w:sz="8"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交易代码</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看涨期权：CU-合约月份-C-行权价格</w:t>
            </w:r>
          </w:p>
          <w:p>
            <w:pPr>
              <w:spacing w:line="380" w:lineRule="exact"/>
              <w:jc w:val="center"/>
              <w:rPr>
                <w:rFonts w:ascii="方正仿宋简体" w:eastAsia="方正仿宋简体"/>
                <w:sz w:val="18"/>
                <w:szCs w:val="18"/>
              </w:rPr>
            </w:pPr>
            <w:r>
              <w:rPr>
                <w:rFonts w:hint="eastAsia" w:ascii="方正仿宋简体" w:eastAsia="方正仿宋简体"/>
                <w:sz w:val="18"/>
                <w:szCs w:val="18"/>
              </w:rPr>
              <w:t>看跌期权：CU-合约月份-P-行权价格</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CU</w:t>
            </w:r>
          </w:p>
        </w:tc>
      </w:tr>
      <w:tr>
        <w:tblPrEx>
          <w:tblLayout w:type="fixed"/>
          <w:tblCellMar>
            <w:top w:w="0" w:type="dxa"/>
            <w:left w:w="108" w:type="dxa"/>
            <w:bottom w:w="0" w:type="dxa"/>
            <w:right w:w="108" w:type="dxa"/>
          </w:tblCellMar>
        </w:tblPrEx>
        <w:trPr>
          <w:cantSplit/>
          <w:trHeight w:val="284" w:hRule="atLeast"/>
          <w:jc w:val="center"/>
        </w:trPr>
        <w:tc>
          <w:tcPr>
            <w:tcW w:w="2088" w:type="dxa"/>
            <w:tcBorders>
              <w:top w:val="single" w:color="000000" w:sz="8"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报价单位</w:t>
            </w:r>
          </w:p>
        </w:tc>
        <w:tc>
          <w:tcPr>
            <w:tcW w:w="6378" w:type="dxa"/>
            <w:gridSpan w:val="2"/>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元（人民币）/吨</w:t>
            </w:r>
          </w:p>
        </w:tc>
      </w:tr>
      <w:tr>
        <w:tblPrEx>
          <w:tblLayout w:type="fixed"/>
          <w:tblCellMar>
            <w:top w:w="0" w:type="dxa"/>
            <w:left w:w="108" w:type="dxa"/>
            <w:bottom w:w="0" w:type="dxa"/>
            <w:right w:w="108" w:type="dxa"/>
          </w:tblCellMar>
        </w:tblPrEx>
        <w:trPr>
          <w:cantSplit/>
          <w:trHeight w:val="284" w:hRule="atLeast"/>
          <w:jc w:val="center"/>
        </w:trPr>
        <w:tc>
          <w:tcPr>
            <w:tcW w:w="2088" w:type="dxa"/>
            <w:tcBorders>
              <w:top w:val="single" w:color="000000" w:sz="8"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最小变动价位</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1元/吨</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10元/吨</w:t>
            </w:r>
          </w:p>
        </w:tc>
      </w:tr>
      <w:tr>
        <w:tblPrEx>
          <w:tblLayout w:type="fixed"/>
          <w:tblCellMar>
            <w:top w:w="0" w:type="dxa"/>
            <w:left w:w="108" w:type="dxa"/>
            <w:bottom w:w="0" w:type="dxa"/>
            <w:right w:w="108" w:type="dxa"/>
          </w:tblCellMar>
        </w:tblPrEx>
        <w:trPr>
          <w:cantSplit/>
          <w:trHeight w:val="284" w:hRule="atLeast"/>
          <w:jc w:val="center"/>
        </w:trPr>
        <w:tc>
          <w:tcPr>
            <w:tcW w:w="2088" w:type="dxa"/>
            <w:tcBorders>
              <w:top w:val="single" w:color="000000" w:sz="8"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涨跌停板幅度</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与阴极铜期货合约涨跌停板幅度相同</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上一交易日结算价±3%</w:t>
            </w:r>
          </w:p>
        </w:tc>
      </w:tr>
      <w:tr>
        <w:tblPrEx>
          <w:tblLayout w:type="fixed"/>
          <w:tblCellMar>
            <w:top w:w="0" w:type="dxa"/>
            <w:left w:w="108" w:type="dxa"/>
            <w:bottom w:w="0" w:type="dxa"/>
            <w:right w:w="108" w:type="dxa"/>
          </w:tblCellMar>
        </w:tblPrEx>
        <w:trPr>
          <w:cantSplit/>
          <w:trHeight w:val="284" w:hRule="atLeast"/>
          <w:jc w:val="center"/>
        </w:trPr>
        <w:tc>
          <w:tcPr>
            <w:tcW w:w="2088" w:type="dxa"/>
            <w:tcBorders>
              <w:top w:val="single" w:color="000000" w:sz="8"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合约月份</w:t>
            </w:r>
          </w:p>
        </w:tc>
        <w:tc>
          <w:tcPr>
            <w:tcW w:w="6378" w:type="dxa"/>
            <w:gridSpan w:val="2"/>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1~12月</w:t>
            </w:r>
          </w:p>
        </w:tc>
      </w:tr>
      <w:tr>
        <w:tblPrEx>
          <w:tblLayout w:type="fixed"/>
          <w:tblCellMar>
            <w:top w:w="0" w:type="dxa"/>
            <w:left w:w="108" w:type="dxa"/>
            <w:bottom w:w="0" w:type="dxa"/>
            <w:right w:w="108" w:type="dxa"/>
          </w:tblCellMar>
        </w:tblPrEx>
        <w:trPr>
          <w:cantSplit/>
          <w:trHeight w:val="284" w:hRule="atLeast"/>
          <w:jc w:val="center"/>
        </w:trPr>
        <w:tc>
          <w:tcPr>
            <w:tcW w:w="2088" w:type="dxa"/>
            <w:tcBorders>
              <w:top w:val="single" w:color="000000" w:sz="8"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交易时间</w:t>
            </w:r>
          </w:p>
        </w:tc>
        <w:tc>
          <w:tcPr>
            <w:tcW w:w="6378" w:type="dxa"/>
            <w:gridSpan w:val="2"/>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上午9:00-11:30下午13:30-15:00及交易所规定的其他时间</w:t>
            </w:r>
          </w:p>
        </w:tc>
      </w:tr>
      <w:tr>
        <w:tblPrEx>
          <w:tblLayout w:type="fixed"/>
          <w:tblCellMar>
            <w:top w:w="0" w:type="dxa"/>
            <w:left w:w="108" w:type="dxa"/>
            <w:bottom w:w="0" w:type="dxa"/>
            <w:right w:w="108" w:type="dxa"/>
          </w:tblCellMar>
        </w:tblPrEx>
        <w:trPr>
          <w:cantSplit/>
          <w:trHeight w:val="567" w:hRule="atLeast"/>
          <w:jc w:val="center"/>
        </w:trPr>
        <w:tc>
          <w:tcPr>
            <w:tcW w:w="2088" w:type="dxa"/>
            <w:tcBorders>
              <w:top w:val="single" w:color="000000" w:sz="8"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shd w:val="clear" w:color="auto" w:fill="D8D8D8"/>
              </w:rPr>
            </w:pPr>
            <w:r>
              <w:rPr>
                <w:rFonts w:hint="eastAsia" w:ascii="方正仿宋简体" w:eastAsia="方正仿宋简体"/>
                <w:sz w:val="18"/>
                <w:szCs w:val="18"/>
              </w:rPr>
              <w:t>最后交易日</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标的期货合约交割月前第一月的倒数第五个交易日，交易所可以根据国家法定节假日调整最后交易日</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合约交割月份的15日</w:t>
            </w:r>
          </w:p>
          <w:p>
            <w:pPr>
              <w:spacing w:line="380" w:lineRule="exact"/>
              <w:jc w:val="center"/>
              <w:rPr>
                <w:rFonts w:ascii="方正仿宋简体" w:eastAsia="方正仿宋简体"/>
                <w:sz w:val="18"/>
                <w:szCs w:val="18"/>
              </w:rPr>
            </w:pPr>
            <w:r>
              <w:rPr>
                <w:rFonts w:hint="eastAsia" w:ascii="方正仿宋简体" w:eastAsia="方正仿宋简体"/>
                <w:sz w:val="18"/>
                <w:szCs w:val="18"/>
              </w:rPr>
              <w:t>（遇法定假日顺延）</w:t>
            </w:r>
          </w:p>
        </w:tc>
      </w:tr>
      <w:tr>
        <w:tblPrEx>
          <w:tblLayout w:type="fixed"/>
          <w:tblCellMar>
            <w:top w:w="0" w:type="dxa"/>
            <w:left w:w="108" w:type="dxa"/>
            <w:bottom w:w="0" w:type="dxa"/>
            <w:right w:w="108" w:type="dxa"/>
          </w:tblCellMar>
        </w:tblPrEx>
        <w:trPr>
          <w:cantSplit/>
          <w:trHeight w:val="284" w:hRule="atLeast"/>
          <w:jc w:val="center"/>
        </w:trPr>
        <w:tc>
          <w:tcPr>
            <w:tcW w:w="2088" w:type="dxa"/>
            <w:tcBorders>
              <w:top w:val="single" w:color="000000" w:sz="8" w:space="0"/>
              <w:left w:val="single" w:color="000000" w:sz="12"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行权方式</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欧式。到期日买方可以在15:30之前提出行权申请、放弃申请</w:t>
            </w:r>
          </w:p>
        </w:tc>
        <w:tc>
          <w:tcPr>
            <w:tcW w:w="3189" w:type="dxa"/>
            <w:tcBorders>
              <w:top w:val="single" w:color="000000" w:sz="8" w:space="0"/>
              <w:left w:val="single" w:color="000000" w:sz="8" w:space="0"/>
              <w:bottom w:val="single" w:color="000000" w:sz="8" w:space="0"/>
              <w:right w:val="single" w:color="000000" w:sz="12" w:space="0"/>
            </w:tcBorders>
            <w:shd w:val="clear" w:color="auto" w:fill="FFFFFF"/>
            <w:tcMar>
              <w:top w:w="80" w:type="dxa"/>
              <w:left w:w="80" w:type="dxa"/>
              <w:bottom w:w="80" w:type="dxa"/>
              <w:right w:w="80" w:type="dxa"/>
            </w:tcMar>
            <w:vAlign w:val="center"/>
          </w:tcPr>
          <w:p>
            <w:pPr>
              <w:spacing w:line="380" w:lineRule="exact"/>
              <w:jc w:val="center"/>
              <w:rPr>
                <w:rFonts w:ascii="方正仿宋简体" w:eastAsia="方正仿宋简体"/>
                <w:sz w:val="18"/>
                <w:szCs w:val="18"/>
              </w:rPr>
            </w:pPr>
            <w:r>
              <w:rPr>
                <w:rFonts w:hint="eastAsia" w:ascii="方正仿宋简体" w:eastAsia="方正仿宋简体"/>
                <w:sz w:val="18"/>
                <w:szCs w:val="18"/>
              </w:rPr>
              <w:t>-</w:t>
            </w:r>
          </w:p>
        </w:tc>
      </w:tr>
    </w:tbl>
    <w:p>
      <w:pPr>
        <w:spacing w:line="360" w:lineRule="auto"/>
        <w:rPr>
          <w:b/>
          <w:bCs/>
          <w:sz w:val="18"/>
          <w:szCs w:val="18"/>
        </w:rPr>
      </w:pPr>
      <w:r>
        <w:rPr>
          <w:rFonts w:hint="eastAsia"/>
          <w:b/>
          <w:bCs/>
          <w:sz w:val="18"/>
          <w:szCs w:val="18"/>
        </w:rPr>
        <w:t>资料来源：上期所，广州期货研究所</w:t>
      </w:r>
    </w:p>
    <w:p>
      <w:pPr>
        <w:spacing w:line="360" w:lineRule="auto"/>
        <w:ind w:firstLine="420"/>
      </w:pPr>
    </w:p>
    <w:p>
      <w:pPr>
        <w:spacing w:line="360" w:lineRule="auto"/>
        <w:rPr>
          <w:rFonts w:ascii="宋体" w:hAnsi="宋体"/>
          <w:b/>
          <w:szCs w:val="21"/>
        </w:rPr>
      </w:pPr>
      <w:r>
        <w:rPr>
          <w:rFonts w:hint="eastAsia" w:ascii="宋体" w:hAnsi="宋体"/>
          <w:b/>
          <w:szCs w:val="21"/>
        </w:rPr>
        <w:t>二、铜企业获得精准保值新工具</w:t>
      </w:r>
    </w:p>
    <w:p>
      <w:pPr>
        <w:spacing w:line="360" w:lineRule="auto"/>
        <w:ind w:firstLine="420"/>
        <w:rPr>
          <w:rFonts w:ascii="宋体" w:hAnsi="宋体"/>
          <w:bCs/>
          <w:szCs w:val="21"/>
        </w:rPr>
      </w:pPr>
      <w:r>
        <w:rPr>
          <w:rFonts w:hint="eastAsia" w:ascii="宋体" w:hAnsi="宋体"/>
          <w:bCs/>
          <w:szCs w:val="21"/>
        </w:rPr>
        <w:t>我国一直是铜的生产和消费大国，有众多的企业参与到铜相关的生产经营活动当中，对风险管理有很大的需求。近年来，上期所的铜期货被广泛的应用到企业的套期保值中去，为实体经济作出了巨大的贡献。但期货本身市场波动较大，对保证金要求较高，有些时候无法为企业做到精确的保值。而铜期权的上市能很好的填补这一缺口，为铜企业提供更加多元化和精细化的风险管理工具。</w:t>
      </w:r>
    </w:p>
    <w:p>
      <w:pPr>
        <w:spacing w:line="360" w:lineRule="auto"/>
        <w:ind w:firstLine="420"/>
        <w:rPr>
          <w:rFonts w:ascii="宋体" w:hAnsi="宋体"/>
          <w:bCs/>
          <w:szCs w:val="21"/>
        </w:rPr>
      </w:pPr>
      <w:r>
        <w:rPr>
          <w:rFonts w:hint="eastAsia" w:ascii="宋体" w:hAnsi="宋体"/>
          <w:bCs/>
          <w:szCs w:val="21"/>
        </w:rPr>
        <w:t>期权相对于期货一个最大的特点就是它的非线性收益结构。企业在用期货做套期保值时，虽然能用期货端的头寸完全保护住现货端的亏损，但是现货出现盈利时也会被期货的浮亏所抵消，虽然减少了风险但也堵死了收益的来源。而如果用期权来对现货做对冲，不仅可以对现货进行保值，也可以在行情朝有利方向大幅波动时获得额外的盈利，增加企业的收入。</w:t>
      </w:r>
    </w:p>
    <w:p>
      <w:pPr>
        <w:spacing w:line="360" w:lineRule="auto"/>
        <w:ind w:firstLine="420"/>
        <w:rPr>
          <w:rFonts w:ascii="宋体" w:hAnsi="宋体"/>
          <w:bCs/>
          <w:szCs w:val="21"/>
        </w:rPr>
      </w:pPr>
      <w:r>
        <w:rPr>
          <w:rFonts w:hint="eastAsia" w:ascii="宋体" w:hAnsi="宋体"/>
          <w:bCs/>
          <w:szCs w:val="21"/>
        </w:rPr>
        <w:t>另外，期权在资金利用率上也比期货更有优势。买一手铜期权所支付的权利金要比买一手铜期货合约支付的保证金便宜不少，在某些情况下可以很好的降低成本。不过，由于期权自身的特性，一部分的权利金要用来支付持有期权的时间价值，如果行情发展没有达到预期，期权的时间价值就会白白损失。因此，高效率的运用期权也需要使用者对行情的判断有较高的把握。</w:t>
      </w:r>
    </w:p>
    <w:p>
      <w:pPr>
        <w:spacing w:line="360" w:lineRule="auto"/>
        <w:ind w:firstLine="420"/>
        <w:rPr>
          <w:rFonts w:ascii="宋体" w:hAnsi="宋体"/>
          <w:bCs/>
          <w:szCs w:val="21"/>
        </w:rPr>
      </w:pPr>
    </w:p>
    <w:p>
      <w:pPr>
        <w:numPr>
          <w:ilvl w:val="0"/>
          <w:numId w:val="2"/>
        </w:numPr>
        <w:spacing w:line="360" w:lineRule="auto"/>
        <w:rPr>
          <w:rFonts w:ascii="宋体" w:hAnsi="宋体"/>
          <w:b/>
          <w:szCs w:val="21"/>
        </w:rPr>
      </w:pPr>
      <w:r>
        <w:rPr>
          <w:rFonts w:hint="eastAsia" w:ascii="宋体" w:hAnsi="宋体"/>
          <w:b/>
          <w:szCs w:val="21"/>
        </w:rPr>
        <w:t>铜期权上市对金融衍生品服务实体经济意义重大</w:t>
      </w:r>
    </w:p>
    <w:p>
      <w:pPr>
        <w:spacing w:line="360" w:lineRule="auto"/>
        <w:ind w:firstLine="420"/>
        <w:rPr>
          <w:rFonts w:ascii="宋体" w:hAnsi="宋体"/>
          <w:bCs/>
          <w:szCs w:val="21"/>
        </w:rPr>
      </w:pPr>
      <w:r>
        <w:rPr>
          <w:rFonts w:hint="eastAsia" w:ascii="宋体" w:hAnsi="宋体"/>
          <w:bCs/>
          <w:szCs w:val="21"/>
        </w:rPr>
        <w:t>作为我国推出的第四个场内期权，同时也是首个场内工业品期权，铜期权的诞生对完善和促进期货市场服务实体经济发展有着重要的意义。从风险管理工具上看，铜期权对现有的铜期货市场是一个很好的补充，期权和期货的组合能更好的满足实体企业的风控需求。从投资者结构上看，鉴于期权本身对使用者有一定的专业性要求，必然会以机构和产业投资者为投资主体，长期下来将使市场结构变得更加成熟和专业。从市场影响力上看，铜期权的面世开启了上期所在有色行业场内期权普及化的新时代，为整个场内期权市场的发展与完善迈出了坚实的一步。</w:t>
      </w:r>
    </w:p>
    <w:p>
      <w:pPr>
        <w:pStyle w:val="27"/>
        <w:jc w:val="center"/>
        <w:rPr>
          <w:rFonts w:ascii="宋体" w:hAnsi="宋体"/>
          <w:b/>
          <w:bCs/>
          <w:color w:val="000080"/>
          <w:sz w:val="28"/>
          <w:szCs w:val="28"/>
        </w:rPr>
      </w:pPr>
      <w:r>
        <w:rPr>
          <w:rFonts w:ascii="宋体" w:hAnsi="宋体"/>
          <w:b/>
          <w:bCs/>
          <w:color w:val="000080"/>
          <w:sz w:val="28"/>
          <w:szCs w:val="28"/>
        </w:rPr>
        <w:br w:type="page"/>
      </w:r>
      <w:r>
        <w:rPr>
          <w:rFonts w:hint="eastAsia" w:ascii="宋体" w:hAnsi="宋体"/>
          <w:b/>
          <w:bCs/>
          <w:color w:val="000080"/>
          <w:sz w:val="28"/>
          <w:szCs w:val="28"/>
        </w:rPr>
        <w:t>研究所</w:t>
      </w:r>
    </w:p>
    <w:p>
      <w:pPr>
        <w:pStyle w:val="27"/>
        <w:spacing w:line="360" w:lineRule="auto"/>
        <w:ind w:firstLine="360" w:firstLineChars="200"/>
        <w:jc w:val="left"/>
        <w:rPr>
          <w:rFonts w:ascii="宋体" w:hAnsi="宋体"/>
          <w:sz w:val="18"/>
          <w:szCs w:val="18"/>
        </w:rPr>
      </w:pPr>
      <w:r>
        <w:rPr>
          <w:rFonts w:hint="eastAsia" w:ascii="宋体" w:hAnsi="宋体"/>
          <w:sz w:val="18"/>
          <w:szCs w:val="18"/>
        </w:rPr>
        <w:t>公司研究所具有一批丰富实战经验的期货产业研究员及专业的优秀分析师，致力于为客户提供中国资本市场</w:t>
      </w:r>
      <w:r>
        <w:rPr>
          <w:rFonts w:hint="eastAsia" w:ascii="宋体" w:hAnsi="宋体"/>
          <w:b/>
          <w:bCs/>
          <w:sz w:val="18"/>
          <w:szCs w:val="18"/>
        </w:rPr>
        <w:t>前瞻性、可操作性</w:t>
      </w:r>
      <w:r>
        <w:rPr>
          <w:rFonts w:hint="eastAsia" w:ascii="宋体" w:hAnsi="宋体"/>
          <w:sz w:val="18"/>
          <w:szCs w:val="18"/>
        </w:rPr>
        <w:t>的投资方案及各类型市场的研究报告，通过对市场进行深度挖掘，提示投资机会和市场风险，完成对资本市场现象、规律的研究探索。</w:t>
      </w:r>
    </w:p>
    <w:p>
      <w:pPr>
        <w:pStyle w:val="27"/>
        <w:spacing w:line="360" w:lineRule="auto"/>
        <w:ind w:firstLine="360" w:firstLineChars="200"/>
        <w:jc w:val="left"/>
        <w:rPr>
          <w:rFonts w:ascii="宋体" w:hAnsi="宋体"/>
          <w:sz w:val="18"/>
          <w:szCs w:val="18"/>
        </w:rPr>
      </w:pPr>
      <w:r>
        <w:rPr>
          <w:rFonts w:hint="eastAsia" w:ascii="宋体" w:hAnsi="宋体"/>
          <w:sz w:val="18"/>
          <w:szCs w:val="18"/>
        </w:rPr>
        <w:t>研究范围涉及目前所有商品期货以及金融衍生品；我们推崇</w:t>
      </w:r>
      <w:r>
        <w:rPr>
          <w:rFonts w:hint="eastAsia" w:ascii="宋体" w:hAnsi="宋体"/>
          <w:b/>
          <w:bCs/>
          <w:sz w:val="18"/>
          <w:szCs w:val="18"/>
        </w:rPr>
        <w:t>产业链</w:t>
      </w:r>
      <w:r>
        <w:rPr>
          <w:rFonts w:hint="eastAsia" w:ascii="宋体" w:hAnsi="宋体"/>
          <w:sz w:val="18"/>
          <w:szCs w:val="18"/>
        </w:rPr>
        <w:t>的研究；我们看重</w:t>
      </w:r>
      <w:r>
        <w:rPr>
          <w:rFonts w:hint="eastAsia" w:ascii="宋体" w:hAnsi="宋体"/>
          <w:b/>
          <w:bCs/>
          <w:sz w:val="18"/>
          <w:szCs w:val="18"/>
        </w:rPr>
        <w:t>数量分析法</w:t>
      </w:r>
      <w:r>
        <w:rPr>
          <w:rFonts w:hint="eastAsia" w:ascii="宋体" w:hAnsi="宋体"/>
          <w:sz w:val="18"/>
          <w:szCs w:val="18"/>
        </w:rPr>
        <w:t>；我们提倡</w:t>
      </w:r>
      <w:r>
        <w:rPr>
          <w:rFonts w:hint="eastAsia" w:ascii="宋体" w:hAnsi="宋体"/>
          <w:b/>
          <w:bCs/>
          <w:sz w:val="18"/>
          <w:szCs w:val="18"/>
        </w:rPr>
        <w:t>独立性</w:t>
      </w:r>
      <w:r>
        <w:rPr>
          <w:rFonts w:hint="eastAsia" w:ascii="宋体" w:hAnsi="宋体"/>
          <w:sz w:val="18"/>
          <w:szCs w:val="18"/>
        </w:rPr>
        <w:t>，鼓励分析师在纷繁复杂的环境下保持清醒。</w:t>
      </w:r>
    </w:p>
    <w:p>
      <w:pPr>
        <w:pStyle w:val="27"/>
        <w:spacing w:line="360" w:lineRule="auto"/>
        <w:ind w:firstLine="360" w:firstLineChars="200"/>
        <w:jc w:val="left"/>
        <w:rPr>
          <w:rFonts w:ascii="宋体" w:hAnsi="宋体"/>
          <w:sz w:val="18"/>
          <w:szCs w:val="18"/>
        </w:rPr>
      </w:pPr>
      <w:r>
        <w:rPr>
          <w:rFonts w:hint="eastAsia" w:ascii="宋体" w:hAnsi="宋体"/>
          <w:sz w:val="18"/>
          <w:szCs w:val="18"/>
        </w:rPr>
        <w:t>我们将积极依托</w:t>
      </w:r>
      <w:r>
        <w:rPr>
          <w:rFonts w:hint="eastAsia" w:ascii="宋体" w:hAnsi="宋体"/>
          <w:b/>
          <w:bCs/>
          <w:sz w:val="18"/>
          <w:szCs w:val="18"/>
        </w:rPr>
        <w:t>股东单位--广州证券</w:t>
      </w:r>
      <w:r>
        <w:rPr>
          <w:rFonts w:hint="eastAsia" w:ascii="宋体" w:hAnsi="宋体"/>
          <w:sz w:val="18"/>
          <w:szCs w:val="18"/>
        </w:rPr>
        <w:t>在宏观经济、产业领域的高端研究资源优势，以“</w:t>
      </w:r>
      <w:r>
        <w:rPr>
          <w:rFonts w:hint="eastAsia" w:ascii="宋体" w:hAnsi="宋体"/>
          <w:b/>
          <w:bCs/>
          <w:sz w:val="18"/>
          <w:szCs w:val="18"/>
        </w:rPr>
        <w:t>宏观、产业和行情策略分析</w:t>
      </w:r>
      <w:r>
        <w:rPr>
          <w:rFonts w:hint="eastAsia" w:ascii="宋体" w:hAnsi="宋体"/>
          <w:sz w:val="18"/>
          <w:szCs w:val="18"/>
        </w:rPr>
        <w:t>”为核心，大力推进市场化和标准化运作，逐步完善研究产品体系，打造具有特色品牌影响力的现代产业与金融研究部。</w:t>
      </w:r>
    </w:p>
    <w:p>
      <w:pPr>
        <w:pStyle w:val="27"/>
        <w:spacing w:line="360" w:lineRule="auto"/>
        <w:ind w:firstLine="360" w:firstLineChars="200"/>
        <w:rPr>
          <w:rFonts w:ascii="宋体" w:hAnsi="宋体"/>
          <w:b/>
          <w:bCs/>
          <w:sz w:val="18"/>
          <w:szCs w:val="18"/>
        </w:rPr>
      </w:pPr>
      <w:r>
        <w:rPr>
          <w:rFonts w:hint="eastAsia" w:ascii="宋体" w:hAnsi="宋体"/>
          <w:sz w:val="18"/>
          <w:szCs w:val="18"/>
        </w:rPr>
        <w:t>核心理念：</w:t>
      </w:r>
      <w:r>
        <w:rPr>
          <w:rFonts w:hint="eastAsia" w:ascii="宋体" w:hAnsi="宋体"/>
          <w:b/>
          <w:bCs/>
          <w:sz w:val="18"/>
          <w:szCs w:val="18"/>
        </w:rPr>
        <w:t>研究创造价值，深入带来远见</w:t>
      </w:r>
    </w:p>
    <w:p>
      <w:pPr>
        <w:pStyle w:val="27"/>
        <w:rPr>
          <w:rFonts w:ascii="宋体" w:hAnsi="宋体"/>
        </w:rPr>
      </w:pPr>
    </w:p>
    <w:p>
      <w:pPr>
        <w:pStyle w:val="27"/>
        <w:rPr>
          <w:rFonts w:ascii="宋体" w:hAnsi="宋体"/>
        </w:rPr>
      </w:pPr>
    </w:p>
    <w:p>
      <w:pPr>
        <w:pStyle w:val="27"/>
        <w:jc w:val="center"/>
        <w:rPr>
          <w:rFonts w:ascii="宋体" w:hAnsi="宋体"/>
          <w:b/>
          <w:bCs/>
          <w:color w:val="000080"/>
          <w:sz w:val="28"/>
          <w:szCs w:val="28"/>
        </w:rPr>
      </w:pPr>
      <w:r>
        <w:rPr>
          <w:rFonts w:hint="eastAsia" w:ascii="宋体" w:hAnsi="宋体"/>
          <w:b/>
          <w:bCs/>
          <w:color w:val="000080"/>
          <w:sz w:val="28"/>
          <w:szCs w:val="28"/>
        </w:rPr>
        <w:t>联系方式</w:t>
      </w:r>
    </w:p>
    <w:p>
      <w:pPr>
        <w:pStyle w:val="27"/>
        <w:rPr>
          <w:rFonts w:ascii="宋体" w:hAnsi="宋体"/>
          <w:sz w:val="24"/>
          <w:szCs w:val="24"/>
        </w:rPr>
      </w:pPr>
    </w:p>
    <w:p>
      <w:pPr>
        <w:pStyle w:val="27"/>
        <w:rPr>
          <w:rFonts w:ascii="宋体" w:hAnsi="宋体"/>
        </w:rPr>
      </w:pPr>
      <w:r>
        <w:rPr>
          <w:rFonts w:hint="eastAsia" w:ascii="宋体" w:hAnsi="宋体"/>
        </w:rPr>
        <w:t xml:space="preserve"> </w:t>
      </w:r>
      <w:r>
        <w:rPr>
          <w:rFonts w:hint="eastAsia" w:ascii="宋体" w:hAnsi="宋体"/>
          <w:sz w:val="18"/>
          <w:szCs w:val="18"/>
        </w:rPr>
        <w:drawing>
          <wp:inline distT="0" distB="0" distL="0" distR="0">
            <wp:extent cx="809625" cy="723900"/>
            <wp:effectExtent l="19050" t="0" r="9525" b="0"/>
            <wp:docPr id="8"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图片1"/>
                    <pic:cNvPicPr>
                      <a:picLocks noChangeAspect="1" noChangeArrowheads="1"/>
                    </pic:cNvPicPr>
                  </pic:nvPicPr>
                  <pic:blipFill>
                    <a:blip r:embed="rId10" cstate="print"/>
                    <a:srcRect/>
                    <a:stretch>
                      <a:fillRect/>
                    </a:stretch>
                  </pic:blipFill>
                  <pic:spPr>
                    <a:xfrm>
                      <a:off x="0" y="0"/>
                      <a:ext cx="809625" cy="723900"/>
                    </a:xfrm>
                    <a:prstGeom prst="rect">
                      <a:avLst/>
                    </a:prstGeom>
                    <a:noFill/>
                    <a:ln w="9525">
                      <a:noFill/>
                      <a:miter lim="800000"/>
                      <a:headEnd/>
                      <a:tailEnd/>
                    </a:ln>
                  </pic:spPr>
                </pic:pic>
              </a:graphicData>
            </a:graphic>
          </wp:inline>
        </w:drawing>
      </w:r>
      <w:r>
        <w:rPr>
          <w:rFonts w:hint="eastAsia" w:ascii="宋体" w:hAnsi="宋体"/>
        </w:rPr>
        <w:t xml:space="preserve">         </w:t>
      </w:r>
      <w:r>
        <w:rPr>
          <w:rFonts w:hint="eastAsia" w:ascii="宋体" w:hAnsi="宋体"/>
        </w:rPr>
        <w:drawing>
          <wp:inline distT="0" distB="0" distL="0" distR="0">
            <wp:extent cx="733425" cy="733425"/>
            <wp:effectExtent l="19050" t="0" r="9525" b="0"/>
            <wp:docPr id="9" name="图片 2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descr="图片4"/>
                    <pic:cNvPicPr>
                      <a:picLocks noChangeAspect="1" noChangeArrowheads="1"/>
                    </pic:cNvPicPr>
                  </pic:nvPicPr>
                  <pic:blipFill>
                    <a:blip r:embed="rId11" cstate="print"/>
                    <a:srcRect/>
                    <a:stretch>
                      <a:fillRect/>
                    </a:stretch>
                  </pic:blipFill>
                  <pic:spPr>
                    <a:xfrm>
                      <a:off x="0" y="0"/>
                      <a:ext cx="733425" cy="733425"/>
                    </a:xfrm>
                    <a:prstGeom prst="rect">
                      <a:avLst/>
                    </a:prstGeom>
                    <a:noFill/>
                    <a:ln w="9525">
                      <a:noFill/>
                      <a:miter lim="800000"/>
                      <a:headEnd/>
                      <a:tailEnd/>
                    </a:ln>
                  </pic:spPr>
                </pic:pic>
              </a:graphicData>
            </a:graphic>
          </wp:inline>
        </w:drawing>
      </w:r>
      <w:r>
        <w:rPr>
          <w:rFonts w:hint="eastAsia" w:ascii="宋体" w:hAnsi="宋体"/>
        </w:rPr>
        <w:t xml:space="preserve">         </w:t>
      </w:r>
      <w:r>
        <w:rPr>
          <w:rFonts w:hint="eastAsia" w:ascii="宋体" w:hAnsi="宋体"/>
        </w:rPr>
        <w:drawing>
          <wp:inline distT="0" distB="0" distL="0" distR="0">
            <wp:extent cx="838200" cy="771525"/>
            <wp:effectExtent l="19050" t="0" r="0" b="0"/>
            <wp:docPr id="10" name="图片 2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6" descr="图片3"/>
                    <pic:cNvPicPr>
                      <a:picLocks noChangeAspect="1" noChangeArrowheads="1"/>
                    </pic:cNvPicPr>
                  </pic:nvPicPr>
                  <pic:blipFill>
                    <a:blip r:embed="rId12" cstate="print"/>
                    <a:srcRect/>
                    <a:stretch>
                      <a:fillRect/>
                    </a:stretch>
                  </pic:blipFill>
                  <pic:spPr>
                    <a:xfrm>
                      <a:off x="0" y="0"/>
                      <a:ext cx="838200" cy="771525"/>
                    </a:xfrm>
                    <a:prstGeom prst="rect">
                      <a:avLst/>
                    </a:prstGeom>
                    <a:noFill/>
                    <a:ln w="9525">
                      <a:noFill/>
                      <a:miter lim="800000"/>
                      <a:headEnd/>
                      <a:tailEnd/>
                    </a:ln>
                  </pic:spPr>
                </pic:pic>
              </a:graphicData>
            </a:graphic>
          </wp:inline>
        </w:drawing>
      </w:r>
      <w:r>
        <w:rPr>
          <w:rFonts w:hint="eastAsia" w:ascii="宋体" w:hAnsi="宋体"/>
        </w:rPr>
        <w:t xml:space="preserve">         </w:t>
      </w:r>
      <w:r>
        <w:rPr>
          <w:rFonts w:hint="eastAsia" w:ascii="宋体" w:hAnsi="宋体"/>
        </w:rPr>
        <w:drawing>
          <wp:inline distT="0" distB="0" distL="0" distR="0">
            <wp:extent cx="838200" cy="752475"/>
            <wp:effectExtent l="19050" t="0" r="0" b="0"/>
            <wp:docPr id="11" name="图片 2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7" descr="图片2"/>
                    <pic:cNvPicPr>
                      <a:picLocks noChangeAspect="1" noChangeArrowheads="1"/>
                    </pic:cNvPicPr>
                  </pic:nvPicPr>
                  <pic:blipFill>
                    <a:blip r:embed="rId13" cstate="print"/>
                    <a:srcRect/>
                    <a:stretch>
                      <a:fillRect/>
                    </a:stretch>
                  </pic:blipFill>
                  <pic:spPr>
                    <a:xfrm>
                      <a:off x="0" y="0"/>
                      <a:ext cx="838200" cy="752475"/>
                    </a:xfrm>
                    <a:prstGeom prst="rect">
                      <a:avLst/>
                    </a:prstGeom>
                    <a:noFill/>
                    <a:ln w="9525">
                      <a:noFill/>
                      <a:miter lim="800000"/>
                      <a:headEnd/>
                      <a:tailEnd/>
                    </a:ln>
                  </pic:spPr>
                </pic:pic>
              </a:graphicData>
            </a:graphic>
          </wp:inline>
        </w:drawing>
      </w:r>
    </w:p>
    <w:p>
      <w:pPr>
        <w:pStyle w:val="27"/>
        <w:rPr>
          <w:rFonts w:ascii="宋体" w:hAnsi="宋体"/>
          <w:sz w:val="18"/>
          <w:szCs w:val="18"/>
        </w:rPr>
      </w:pPr>
      <w:r>
        <w:rPr>
          <w:rFonts w:hint="eastAsia" w:ascii="宋体" w:hAnsi="宋体"/>
          <w:sz w:val="18"/>
          <w:szCs w:val="18"/>
        </w:rPr>
        <w:t xml:space="preserve">    金融研究               农产品研究                金属研究                 能源化工</w:t>
      </w:r>
    </w:p>
    <w:p>
      <w:pPr>
        <w:pStyle w:val="27"/>
        <w:spacing w:line="360" w:lineRule="auto"/>
        <w:rPr>
          <w:rFonts w:ascii="宋体" w:hAnsi="宋体"/>
          <w:b/>
          <w:bCs/>
          <w:sz w:val="18"/>
          <w:szCs w:val="18"/>
        </w:rPr>
      </w:pPr>
      <w:r>
        <w:rPr>
          <w:rFonts w:hint="eastAsia" w:ascii="宋体" w:hAnsi="宋体"/>
          <w:sz w:val="18"/>
          <w:szCs w:val="18"/>
        </w:rPr>
        <w:t xml:space="preserve">   020-22139824           020-22139813             020-22139817              020-22139824</w:t>
      </w:r>
    </w:p>
    <w:p>
      <w:pPr>
        <w:pStyle w:val="27"/>
        <w:rPr>
          <w:rFonts w:ascii="宋体" w:hAnsi="宋体"/>
          <w:b/>
          <w:bCs/>
          <w:sz w:val="18"/>
          <w:szCs w:val="18"/>
        </w:rPr>
      </w:pPr>
    </w:p>
    <w:p>
      <w:pPr>
        <w:pStyle w:val="27"/>
        <w:rPr>
          <w:rFonts w:ascii="宋体" w:hAnsi="宋体"/>
          <w:b/>
          <w:bCs/>
          <w:sz w:val="18"/>
          <w:szCs w:val="18"/>
        </w:rPr>
      </w:pPr>
      <w:r>
        <w:rPr>
          <w:rFonts w:hint="eastAsia" w:ascii="宋体" w:hAnsi="宋体"/>
          <w:bCs/>
          <w:sz w:val="18"/>
          <w:szCs w:val="18"/>
        </w:rPr>
        <w:t>地址：广东省广州市天河区珠江西路5号广州国际金融中心主塔写字楼第1007-1012房      邮编：510623</w:t>
      </w:r>
    </w:p>
    <w:p>
      <w:pPr>
        <w:pStyle w:val="27"/>
        <w:rPr>
          <w:rFonts w:ascii="宋体" w:hAnsi="宋体"/>
          <w:b/>
          <w:bCs/>
          <w:sz w:val="18"/>
          <w:szCs w:val="18"/>
        </w:rPr>
      </w:pPr>
    </w:p>
    <w:p>
      <w:pPr>
        <w:pStyle w:val="27"/>
        <w:rPr>
          <w:rFonts w:ascii="宋体" w:hAnsi="宋体"/>
          <w:b/>
          <w:bCs/>
          <w:sz w:val="18"/>
          <w:szCs w:val="18"/>
        </w:rPr>
      </w:pPr>
    </w:p>
    <w:p>
      <w:pPr>
        <w:pStyle w:val="27"/>
        <w:spacing w:line="360" w:lineRule="auto"/>
        <w:jc w:val="center"/>
        <w:rPr>
          <w:rFonts w:ascii="宋体" w:hAnsi="宋体"/>
          <w:b/>
          <w:bCs/>
          <w:color w:val="800000"/>
          <w:sz w:val="18"/>
          <w:szCs w:val="18"/>
        </w:rPr>
      </w:pPr>
      <w:r>
        <w:rPr>
          <w:rFonts w:hint="eastAsia" w:ascii="宋体" w:hAnsi="宋体"/>
          <w:b/>
          <w:bCs/>
          <w:color w:val="800000"/>
          <w:sz w:val="18"/>
          <w:szCs w:val="18"/>
        </w:rPr>
        <w:t>免责声明</w:t>
      </w:r>
    </w:p>
    <w:p>
      <w:pPr>
        <w:pStyle w:val="27"/>
        <w:spacing w:line="360" w:lineRule="auto"/>
        <w:ind w:firstLine="360" w:firstLineChars="200"/>
        <w:rPr>
          <w:rFonts w:ascii="宋体" w:hAnsi="宋体"/>
          <w:color w:val="808080"/>
          <w:sz w:val="18"/>
          <w:szCs w:val="18"/>
        </w:rPr>
      </w:pPr>
      <w:r>
        <w:rPr>
          <w:rFonts w:hint="eastAsia" w:ascii="宋体" w:hAnsi="宋体"/>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pPr>
        <w:snapToGrid w:val="0"/>
        <w:spacing w:line="480" w:lineRule="exact"/>
        <w:jc w:val="center"/>
        <w:rPr>
          <w:rFonts w:ascii="新宋体" w:hAnsi="新宋体" w:eastAsia="新宋体"/>
          <w:color w:val="FFFFFF"/>
          <w:sz w:val="36"/>
          <w:szCs w:val="36"/>
        </w:rPr>
      </w:pPr>
    </w:p>
    <w:sectPr>
      <w:headerReference r:id="rId3" w:type="default"/>
      <w:footerReference r:id="rId4" w:type="default"/>
      <w:footerReference r:id="rId5" w:type="even"/>
      <w:pgSz w:w="11906" w:h="16838"/>
      <w:pgMar w:top="1440" w:right="1797" w:bottom="731"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Gill Sans">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w:t>
    </w:r>
    <w:r>
      <w:fldChar w:fldCharType="end"/>
    </w: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jc w:val="left"/>
      <w:rPr>
        <w:rFonts w:ascii="新宋体" w:hAnsi="新宋体" w:eastAsia="新宋体"/>
        <w:bCs/>
        <w:sz w:val="24"/>
        <w:szCs w:val="24"/>
      </w:rPr>
    </w:pPr>
    <w:r>
      <w:drawing>
        <wp:anchor distT="0" distB="0" distL="114300" distR="114300" simplePos="0" relativeHeight="251658240" behindDoc="0" locked="0" layoutInCell="1" allowOverlap="1">
          <wp:simplePos x="0" y="0"/>
          <wp:positionH relativeFrom="column">
            <wp:posOffset>-685800</wp:posOffset>
          </wp:positionH>
          <wp:positionV relativeFrom="paragraph">
            <wp:posOffset>-300355</wp:posOffset>
          </wp:positionV>
          <wp:extent cx="2055495" cy="732155"/>
          <wp:effectExtent l="0" t="0" r="0" b="0"/>
          <wp:wrapNone/>
          <wp:docPr id="1" name="Picture 1"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广期新vi短称(越秀新版)"/>
                  <pic:cNvPicPr>
                    <a:picLocks noChangeAspect="1" noChangeArrowheads="1"/>
                  </pic:cNvPicPr>
                </pic:nvPicPr>
                <pic:blipFill>
                  <a:blip r:embed="rId1"/>
                  <a:srcRect/>
                  <a:stretch>
                    <a:fillRect/>
                  </a:stretch>
                </pic:blipFill>
                <pic:spPr>
                  <a:xfrm>
                    <a:off x="0" y="0"/>
                    <a:ext cx="2055495" cy="7321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DF5808B"/>
    <w:multiLevelType w:val="singleLevel"/>
    <w:tmpl w:val="2DF5808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D20"/>
    <w:rsid w:val="000160A5"/>
    <w:rsid w:val="00025794"/>
    <w:rsid w:val="00027C50"/>
    <w:rsid w:val="00034249"/>
    <w:rsid w:val="00034F3E"/>
    <w:rsid w:val="0003726B"/>
    <w:rsid w:val="00037680"/>
    <w:rsid w:val="0004161A"/>
    <w:rsid w:val="00082E71"/>
    <w:rsid w:val="000830D4"/>
    <w:rsid w:val="000944F0"/>
    <w:rsid w:val="00096A22"/>
    <w:rsid w:val="0009767C"/>
    <w:rsid w:val="00097D51"/>
    <w:rsid w:val="000A32B4"/>
    <w:rsid w:val="000B4A41"/>
    <w:rsid w:val="000C0219"/>
    <w:rsid w:val="000C4243"/>
    <w:rsid w:val="000D19E4"/>
    <w:rsid w:val="000D46CA"/>
    <w:rsid w:val="000E0840"/>
    <w:rsid w:val="000F4337"/>
    <w:rsid w:val="000F4460"/>
    <w:rsid w:val="000F7F9F"/>
    <w:rsid w:val="00102237"/>
    <w:rsid w:val="00114D34"/>
    <w:rsid w:val="00130729"/>
    <w:rsid w:val="00133717"/>
    <w:rsid w:val="00172A27"/>
    <w:rsid w:val="001A7F34"/>
    <w:rsid w:val="001B7AFE"/>
    <w:rsid w:val="001D1F10"/>
    <w:rsid w:val="001D3C93"/>
    <w:rsid w:val="001D6364"/>
    <w:rsid w:val="001E12A1"/>
    <w:rsid w:val="001E3FA4"/>
    <w:rsid w:val="001E597D"/>
    <w:rsid w:val="001E6686"/>
    <w:rsid w:val="001E6ABE"/>
    <w:rsid w:val="001F7EE6"/>
    <w:rsid w:val="00200871"/>
    <w:rsid w:val="00202C23"/>
    <w:rsid w:val="00205CE6"/>
    <w:rsid w:val="00211372"/>
    <w:rsid w:val="002117CF"/>
    <w:rsid w:val="0021392B"/>
    <w:rsid w:val="00215D3C"/>
    <w:rsid w:val="00216721"/>
    <w:rsid w:val="0022247A"/>
    <w:rsid w:val="0023711F"/>
    <w:rsid w:val="00244E6F"/>
    <w:rsid w:val="002460C8"/>
    <w:rsid w:val="0026119C"/>
    <w:rsid w:val="00270BA4"/>
    <w:rsid w:val="00283D1E"/>
    <w:rsid w:val="00284CA9"/>
    <w:rsid w:val="002916E2"/>
    <w:rsid w:val="002B1691"/>
    <w:rsid w:val="002C1610"/>
    <w:rsid w:val="002D14FC"/>
    <w:rsid w:val="002D31F7"/>
    <w:rsid w:val="002D5045"/>
    <w:rsid w:val="002D5F39"/>
    <w:rsid w:val="002E6277"/>
    <w:rsid w:val="00307A09"/>
    <w:rsid w:val="00310DAC"/>
    <w:rsid w:val="00330735"/>
    <w:rsid w:val="003427F7"/>
    <w:rsid w:val="00352E86"/>
    <w:rsid w:val="00366F37"/>
    <w:rsid w:val="003709A1"/>
    <w:rsid w:val="00372C05"/>
    <w:rsid w:val="0037645F"/>
    <w:rsid w:val="00376C98"/>
    <w:rsid w:val="003A5C14"/>
    <w:rsid w:val="003B2BE1"/>
    <w:rsid w:val="003C0CD3"/>
    <w:rsid w:val="003D0B62"/>
    <w:rsid w:val="003D2F7C"/>
    <w:rsid w:val="003E6EE1"/>
    <w:rsid w:val="003E72C1"/>
    <w:rsid w:val="003F215C"/>
    <w:rsid w:val="003F6A26"/>
    <w:rsid w:val="00413FC7"/>
    <w:rsid w:val="004152F1"/>
    <w:rsid w:val="00420164"/>
    <w:rsid w:val="004350F1"/>
    <w:rsid w:val="004358CC"/>
    <w:rsid w:val="0043765B"/>
    <w:rsid w:val="00453FE1"/>
    <w:rsid w:val="00476554"/>
    <w:rsid w:val="0049654B"/>
    <w:rsid w:val="0049667A"/>
    <w:rsid w:val="004A6E18"/>
    <w:rsid w:val="004B174A"/>
    <w:rsid w:val="004B2A41"/>
    <w:rsid w:val="004B3AB6"/>
    <w:rsid w:val="004C0F24"/>
    <w:rsid w:val="004E6FD2"/>
    <w:rsid w:val="004F4BFA"/>
    <w:rsid w:val="004F5CC7"/>
    <w:rsid w:val="005044E7"/>
    <w:rsid w:val="00511C17"/>
    <w:rsid w:val="00512839"/>
    <w:rsid w:val="00521C07"/>
    <w:rsid w:val="00526131"/>
    <w:rsid w:val="00526A0D"/>
    <w:rsid w:val="00527C84"/>
    <w:rsid w:val="00530224"/>
    <w:rsid w:val="00531AB9"/>
    <w:rsid w:val="00535CF2"/>
    <w:rsid w:val="0054662E"/>
    <w:rsid w:val="00551551"/>
    <w:rsid w:val="00562CC4"/>
    <w:rsid w:val="00564271"/>
    <w:rsid w:val="00570DEA"/>
    <w:rsid w:val="00585C14"/>
    <w:rsid w:val="00591CCA"/>
    <w:rsid w:val="00597777"/>
    <w:rsid w:val="005A6958"/>
    <w:rsid w:val="005B46C8"/>
    <w:rsid w:val="005C2983"/>
    <w:rsid w:val="005C78F6"/>
    <w:rsid w:val="005D0FEC"/>
    <w:rsid w:val="005D7DA4"/>
    <w:rsid w:val="005E0112"/>
    <w:rsid w:val="005E6496"/>
    <w:rsid w:val="005E6628"/>
    <w:rsid w:val="005F2126"/>
    <w:rsid w:val="00602931"/>
    <w:rsid w:val="00611D96"/>
    <w:rsid w:val="0061306D"/>
    <w:rsid w:val="00625421"/>
    <w:rsid w:val="0063757E"/>
    <w:rsid w:val="00646092"/>
    <w:rsid w:val="006515D4"/>
    <w:rsid w:val="006655BE"/>
    <w:rsid w:val="00670239"/>
    <w:rsid w:val="006948F3"/>
    <w:rsid w:val="006962EE"/>
    <w:rsid w:val="006A2781"/>
    <w:rsid w:val="006B3205"/>
    <w:rsid w:val="006B6F87"/>
    <w:rsid w:val="006C218D"/>
    <w:rsid w:val="006D3AC2"/>
    <w:rsid w:val="006D717F"/>
    <w:rsid w:val="006F52BC"/>
    <w:rsid w:val="006F7C2E"/>
    <w:rsid w:val="007011FD"/>
    <w:rsid w:val="00702B3C"/>
    <w:rsid w:val="007208FD"/>
    <w:rsid w:val="007369E8"/>
    <w:rsid w:val="00751D7E"/>
    <w:rsid w:val="00753BB0"/>
    <w:rsid w:val="00761D7D"/>
    <w:rsid w:val="00763B89"/>
    <w:rsid w:val="00780387"/>
    <w:rsid w:val="00784158"/>
    <w:rsid w:val="00790924"/>
    <w:rsid w:val="007D256D"/>
    <w:rsid w:val="007E34B9"/>
    <w:rsid w:val="007F782F"/>
    <w:rsid w:val="008106DA"/>
    <w:rsid w:val="00814F7E"/>
    <w:rsid w:val="00816396"/>
    <w:rsid w:val="00822228"/>
    <w:rsid w:val="00823A29"/>
    <w:rsid w:val="00830F4E"/>
    <w:rsid w:val="0083195D"/>
    <w:rsid w:val="008335DE"/>
    <w:rsid w:val="0083426A"/>
    <w:rsid w:val="008516EA"/>
    <w:rsid w:val="00861D64"/>
    <w:rsid w:val="008667A8"/>
    <w:rsid w:val="00875590"/>
    <w:rsid w:val="00882E62"/>
    <w:rsid w:val="0089202F"/>
    <w:rsid w:val="008934AE"/>
    <w:rsid w:val="00894100"/>
    <w:rsid w:val="008954A2"/>
    <w:rsid w:val="008A0481"/>
    <w:rsid w:val="008A0EBF"/>
    <w:rsid w:val="008A6279"/>
    <w:rsid w:val="008A7331"/>
    <w:rsid w:val="008B6B52"/>
    <w:rsid w:val="008B7629"/>
    <w:rsid w:val="008C004C"/>
    <w:rsid w:val="008D6E72"/>
    <w:rsid w:val="008E35D3"/>
    <w:rsid w:val="008E36EB"/>
    <w:rsid w:val="008F3C48"/>
    <w:rsid w:val="008F59AC"/>
    <w:rsid w:val="00911ED3"/>
    <w:rsid w:val="00914879"/>
    <w:rsid w:val="009175CC"/>
    <w:rsid w:val="00923E2F"/>
    <w:rsid w:val="009356CF"/>
    <w:rsid w:val="00942CB6"/>
    <w:rsid w:val="00944E7C"/>
    <w:rsid w:val="00956E8A"/>
    <w:rsid w:val="0095701A"/>
    <w:rsid w:val="0096694A"/>
    <w:rsid w:val="00971522"/>
    <w:rsid w:val="00973245"/>
    <w:rsid w:val="0097651D"/>
    <w:rsid w:val="009777B2"/>
    <w:rsid w:val="009939B0"/>
    <w:rsid w:val="009978E2"/>
    <w:rsid w:val="009A1CB9"/>
    <w:rsid w:val="009B2D84"/>
    <w:rsid w:val="009D16B4"/>
    <w:rsid w:val="009E6E91"/>
    <w:rsid w:val="00A042A1"/>
    <w:rsid w:val="00A23CAB"/>
    <w:rsid w:val="00A332FB"/>
    <w:rsid w:val="00A51DE4"/>
    <w:rsid w:val="00A52833"/>
    <w:rsid w:val="00A5739C"/>
    <w:rsid w:val="00A60E7E"/>
    <w:rsid w:val="00A73003"/>
    <w:rsid w:val="00A80783"/>
    <w:rsid w:val="00A82F9D"/>
    <w:rsid w:val="00A92FB0"/>
    <w:rsid w:val="00A94F89"/>
    <w:rsid w:val="00AA1620"/>
    <w:rsid w:val="00AA57A4"/>
    <w:rsid w:val="00AA5F50"/>
    <w:rsid w:val="00AB0508"/>
    <w:rsid w:val="00AB382E"/>
    <w:rsid w:val="00AB5D6F"/>
    <w:rsid w:val="00AC1F9B"/>
    <w:rsid w:val="00AC7068"/>
    <w:rsid w:val="00AD0376"/>
    <w:rsid w:val="00AE0617"/>
    <w:rsid w:val="00AE1920"/>
    <w:rsid w:val="00AE7AC4"/>
    <w:rsid w:val="00AF438D"/>
    <w:rsid w:val="00AF7FE6"/>
    <w:rsid w:val="00B06F3B"/>
    <w:rsid w:val="00B07866"/>
    <w:rsid w:val="00B12DD9"/>
    <w:rsid w:val="00B21493"/>
    <w:rsid w:val="00B22644"/>
    <w:rsid w:val="00B345CC"/>
    <w:rsid w:val="00B34609"/>
    <w:rsid w:val="00B44722"/>
    <w:rsid w:val="00B532C3"/>
    <w:rsid w:val="00B56CA5"/>
    <w:rsid w:val="00B60D96"/>
    <w:rsid w:val="00B627C6"/>
    <w:rsid w:val="00B6454E"/>
    <w:rsid w:val="00B7213D"/>
    <w:rsid w:val="00B81186"/>
    <w:rsid w:val="00B96537"/>
    <w:rsid w:val="00BA040D"/>
    <w:rsid w:val="00BA355A"/>
    <w:rsid w:val="00BB28D2"/>
    <w:rsid w:val="00BB5244"/>
    <w:rsid w:val="00BC372F"/>
    <w:rsid w:val="00BE4249"/>
    <w:rsid w:val="00BE4A6A"/>
    <w:rsid w:val="00BF336C"/>
    <w:rsid w:val="00BF587F"/>
    <w:rsid w:val="00BF6086"/>
    <w:rsid w:val="00C007E8"/>
    <w:rsid w:val="00C033C0"/>
    <w:rsid w:val="00C048C7"/>
    <w:rsid w:val="00C133EF"/>
    <w:rsid w:val="00C31E90"/>
    <w:rsid w:val="00C42B96"/>
    <w:rsid w:val="00C52F44"/>
    <w:rsid w:val="00C66F60"/>
    <w:rsid w:val="00C8207E"/>
    <w:rsid w:val="00C83689"/>
    <w:rsid w:val="00C83D2E"/>
    <w:rsid w:val="00C8593A"/>
    <w:rsid w:val="00C873A4"/>
    <w:rsid w:val="00C953C4"/>
    <w:rsid w:val="00CA6EB7"/>
    <w:rsid w:val="00CB3F5A"/>
    <w:rsid w:val="00CC26EB"/>
    <w:rsid w:val="00CC27FE"/>
    <w:rsid w:val="00CD3B69"/>
    <w:rsid w:val="00CE6343"/>
    <w:rsid w:val="00CE6E23"/>
    <w:rsid w:val="00CF3F1E"/>
    <w:rsid w:val="00D12867"/>
    <w:rsid w:val="00D16A13"/>
    <w:rsid w:val="00D2776C"/>
    <w:rsid w:val="00D36842"/>
    <w:rsid w:val="00D36EB2"/>
    <w:rsid w:val="00D567AB"/>
    <w:rsid w:val="00D6297E"/>
    <w:rsid w:val="00D62A7E"/>
    <w:rsid w:val="00D6496A"/>
    <w:rsid w:val="00D6735D"/>
    <w:rsid w:val="00D712C9"/>
    <w:rsid w:val="00D77940"/>
    <w:rsid w:val="00D86C16"/>
    <w:rsid w:val="00D9519B"/>
    <w:rsid w:val="00DD69D0"/>
    <w:rsid w:val="00DE18BB"/>
    <w:rsid w:val="00DE68BE"/>
    <w:rsid w:val="00DE7819"/>
    <w:rsid w:val="00DF244B"/>
    <w:rsid w:val="00DF2C66"/>
    <w:rsid w:val="00DF6187"/>
    <w:rsid w:val="00E0226F"/>
    <w:rsid w:val="00E02F93"/>
    <w:rsid w:val="00E07012"/>
    <w:rsid w:val="00E07D86"/>
    <w:rsid w:val="00E10DDC"/>
    <w:rsid w:val="00E252C0"/>
    <w:rsid w:val="00E338BB"/>
    <w:rsid w:val="00E368A4"/>
    <w:rsid w:val="00E369C6"/>
    <w:rsid w:val="00E40A47"/>
    <w:rsid w:val="00E4593B"/>
    <w:rsid w:val="00E55C63"/>
    <w:rsid w:val="00E568E5"/>
    <w:rsid w:val="00E605A7"/>
    <w:rsid w:val="00E62595"/>
    <w:rsid w:val="00E6496A"/>
    <w:rsid w:val="00E678B3"/>
    <w:rsid w:val="00E73A7B"/>
    <w:rsid w:val="00E7680F"/>
    <w:rsid w:val="00E93E9B"/>
    <w:rsid w:val="00EC796A"/>
    <w:rsid w:val="00ED7D10"/>
    <w:rsid w:val="00EE4F3C"/>
    <w:rsid w:val="00EF2747"/>
    <w:rsid w:val="00EF3815"/>
    <w:rsid w:val="00F032A3"/>
    <w:rsid w:val="00F118D0"/>
    <w:rsid w:val="00F20F9D"/>
    <w:rsid w:val="00F35989"/>
    <w:rsid w:val="00F4066A"/>
    <w:rsid w:val="00F42958"/>
    <w:rsid w:val="00F4330A"/>
    <w:rsid w:val="00F6363A"/>
    <w:rsid w:val="00F7605E"/>
    <w:rsid w:val="00F93884"/>
    <w:rsid w:val="00F94221"/>
    <w:rsid w:val="00FA0E77"/>
    <w:rsid w:val="00FA1575"/>
    <w:rsid w:val="00FB0910"/>
    <w:rsid w:val="00FB5837"/>
    <w:rsid w:val="00FB68AD"/>
    <w:rsid w:val="00FC5C90"/>
    <w:rsid w:val="00FE1EEE"/>
    <w:rsid w:val="00FE6199"/>
    <w:rsid w:val="00FF7A13"/>
    <w:rsid w:val="01DC7E7C"/>
    <w:rsid w:val="0236498C"/>
    <w:rsid w:val="0360081E"/>
    <w:rsid w:val="03C802CF"/>
    <w:rsid w:val="04784504"/>
    <w:rsid w:val="05960B99"/>
    <w:rsid w:val="059821DB"/>
    <w:rsid w:val="069C321F"/>
    <w:rsid w:val="087E5C93"/>
    <w:rsid w:val="08DE4E48"/>
    <w:rsid w:val="092660E6"/>
    <w:rsid w:val="099B0119"/>
    <w:rsid w:val="09B951A8"/>
    <w:rsid w:val="0B0D5EFA"/>
    <w:rsid w:val="0D1647FC"/>
    <w:rsid w:val="0D6218DC"/>
    <w:rsid w:val="0FE6024F"/>
    <w:rsid w:val="10251969"/>
    <w:rsid w:val="10E24EEE"/>
    <w:rsid w:val="132F12A1"/>
    <w:rsid w:val="13546428"/>
    <w:rsid w:val="152C6767"/>
    <w:rsid w:val="172E5FA6"/>
    <w:rsid w:val="17737F96"/>
    <w:rsid w:val="1818387B"/>
    <w:rsid w:val="19286133"/>
    <w:rsid w:val="19C23E8C"/>
    <w:rsid w:val="1A2D0CDF"/>
    <w:rsid w:val="1B3B34FE"/>
    <w:rsid w:val="1BBF1422"/>
    <w:rsid w:val="1BC953B5"/>
    <w:rsid w:val="1CCD7048"/>
    <w:rsid w:val="1D2379B1"/>
    <w:rsid w:val="1D3F3E64"/>
    <w:rsid w:val="1F755A3F"/>
    <w:rsid w:val="1F8D207E"/>
    <w:rsid w:val="202D6239"/>
    <w:rsid w:val="205913E0"/>
    <w:rsid w:val="20B15E47"/>
    <w:rsid w:val="210272C3"/>
    <w:rsid w:val="214B73AC"/>
    <w:rsid w:val="21564CBC"/>
    <w:rsid w:val="22CA0E6A"/>
    <w:rsid w:val="23745B82"/>
    <w:rsid w:val="23807AA3"/>
    <w:rsid w:val="23E67EB2"/>
    <w:rsid w:val="243A0AFB"/>
    <w:rsid w:val="247B1B05"/>
    <w:rsid w:val="24C63862"/>
    <w:rsid w:val="2546290A"/>
    <w:rsid w:val="257C7F48"/>
    <w:rsid w:val="25BF0754"/>
    <w:rsid w:val="298F19FD"/>
    <w:rsid w:val="2B9F2D1C"/>
    <w:rsid w:val="2BE24497"/>
    <w:rsid w:val="2C02195F"/>
    <w:rsid w:val="2C7C6DD3"/>
    <w:rsid w:val="2CDA55C1"/>
    <w:rsid w:val="2D7C5CE8"/>
    <w:rsid w:val="2ECB2C17"/>
    <w:rsid w:val="2F881FFE"/>
    <w:rsid w:val="302F441C"/>
    <w:rsid w:val="309A1B1A"/>
    <w:rsid w:val="30A025F1"/>
    <w:rsid w:val="30BA46B0"/>
    <w:rsid w:val="30BB0740"/>
    <w:rsid w:val="30E41C84"/>
    <w:rsid w:val="32775470"/>
    <w:rsid w:val="33B74D15"/>
    <w:rsid w:val="3561314B"/>
    <w:rsid w:val="369E785C"/>
    <w:rsid w:val="36D54974"/>
    <w:rsid w:val="36ED7282"/>
    <w:rsid w:val="388C10AB"/>
    <w:rsid w:val="39C6161F"/>
    <w:rsid w:val="3A663509"/>
    <w:rsid w:val="3AE816D8"/>
    <w:rsid w:val="3B4F4989"/>
    <w:rsid w:val="3B921F45"/>
    <w:rsid w:val="3F444AEB"/>
    <w:rsid w:val="3F6C6D6E"/>
    <w:rsid w:val="3F7813E9"/>
    <w:rsid w:val="40B34971"/>
    <w:rsid w:val="40F636AA"/>
    <w:rsid w:val="42105418"/>
    <w:rsid w:val="424C016E"/>
    <w:rsid w:val="46A9583E"/>
    <w:rsid w:val="475C7360"/>
    <w:rsid w:val="487F32DC"/>
    <w:rsid w:val="49160183"/>
    <w:rsid w:val="49597F7F"/>
    <w:rsid w:val="499B3A3D"/>
    <w:rsid w:val="49ED3494"/>
    <w:rsid w:val="4ACB0CFA"/>
    <w:rsid w:val="4C924A08"/>
    <w:rsid w:val="4F031C77"/>
    <w:rsid w:val="4FA93B3A"/>
    <w:rsid w:val="52322072"/>
    <w:rsid w:val="523F2B0E"/>
    <w:rsid w:val="525B1391"/>
    <w:rsid w:val="53BD0AF1"/>
    <w:rsid w:val="55EC091C"/>
    <w:rsid w:val="567059D9"/>
    <w:rsid w:val="56CC3551"/>
    <w:rsid w:val="56D12598"/>
    <w:rsid w:val="573C1BA5"/>
    <w:rsid w:val="57684D29"/>
    <w:rsid w:val="5A020E07"/>
    <w:rsid w:val="5B422AED"/>
    <w:rsid w:val="5B4A61FD"/>
    <w:rsid w:val="5BA71FD1"/>
    <w:rsid w:val="5BF23F4D"/>
    <w:rsid w:val="5C033870"/>
    <w:rsid w:val="5C3C4EEC"/>
    <w:rsid w:val="5C8658F8"/>
    <w:rsid w:val="5D342DD0"/>
    <w:rsid w:val="5D3E4470"/>
    <w:rsid w:val="5F30542D"/>
    <w:rsid w:val="6018785E"/>
    <w:rsid w:val="60250EDA"/>
    <w:rsid w:val="611B5C48"/>
    <w:rsid w:val="61BA052A"/>
    <w:rsid w:val="62771301"/>
    <w:rsid w:val="62E5328F"/>
    <w:rsid w:val="62F946AA"/>
    <w:rsid w:val="639F5C1C"/>
    <w:rsid w:val="655C1C09"/>
    <w:rsid w:val="657B56AD"/>
    <w:rsid w:val="65A65814"/>
    <w:rsid w:val="66803C72"/>
    <w:rsid w:val="66811DA8"/>
    <w:rsid w:val="670B42BF"/>
    <w:rsid w:val="699136C9"/>
    <w:rsid w:val="699C0A39"/>
    <w:rsid w:val="6BC477D3"/>
    <w:rsid w:val="6EA14114"/>
    <w:rsid w:val="6EF55670"/>
    <w:rsid w:val="6F984543"/>
    <w:rsid w:val="702A1006"/>
    <w:rsid w:val="71072B94"/>
    <w:rsid w:val="72493491"/>
    <w:rsid w:val="739E738F"/>
    <w:rsid w:val="73BC1AF6"/>
    <w:rsid w:val="75423ECE"/>
    <w:rsid w:val="75655DA5"/>
    <w:rsid w:val="758414A7"/>
    <w:rsid w:val="75C73788"/>
    <w:rsid w:val="75D40216"/>
    <w:rsid w:val="75DA7DC6"/>
    <w:rsid w:val="76BD0DA7"/>
    <w:rsid w:val="76F74BB3"/>
    <w:rsid w:val="77046572"/>
    <w:rsid w:val="781520D2"/>
    <w:rsid w:val="7AB828BB"/>
    <w:rsid w:val="7B4923B6"/>
    <w:rsid w:val="7C782A83"/>
    <w:rsid w:val="7D2B0BE7"/>
    <w:rsid w:val="7D665705"/>
    <w:rsid w:val="7DEF2584"/>
    <w:rsid w:val="7EDD0157"/>
    <w:rsid w:val="7F5A56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100" w:after="90" w:line="576" w:lineRule="auto"/>
      <w:outlineLvl w:val="0"/>
    </w:pPr>
    <w:rPr>
      <w:rFonts w:eastAsia="新宋体"/>
      <w:b/>
      <w:kern w:val="44"/>
      <w:sz w:val="32"/>
    </w:rPr>
  </w:style>
  <w:style w:type="paragraph" w:styleId="3">
    <w:name w:val="heading 2"/>
    <w:basedOn w:val="1"/>
    <w:next w:val="1"/>
    <w:qFormat/>
    <w:uiPriority w:val="0"/>
    <w:pPr>
      <w:keepNext/>
      <w:keepLines/>
      <w:numPr>
        <w:ilvl w:val="1"/>
        <w:numId w:val="1"/>
      </w:numPr>
      <w:spacing w:line="413" w:lineRule="auto"/>
      <w:outlineLvl w:val="1"/>
    </w:pPr>
    <w:rPr>
      <w:rFonts w:ascii="Arial" w:hAnsi="Arial" w:eastAsia="新宋体"/>
      <w:b/>
      <w:sz w:val="28"/>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numPr>
        <w:ilvl w:val="3"/>
        <w:numId w:val="1"/>
      </w:numPr>
      <w:tabs>
        <w:tab w:val="left" w:pos="1680"/>
      </w:tabs>
      <w:spacing w:line="372" w:lineRule="auto"/>
      <w:outlineLvl w:val="3"/>
    </w:pPr>
    <w:rPr>
      <w:rFonts w:ascii="Arial" w:hAnsi="Arial" w:eastAsia="新宋体"/>
      <w:b/>
      <w:sz w:val="24"/>
    </w:rPr>
  </w:style>
  <w:style w:type="character" w:default="1" w:styleId="14">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6">
    <w:name w:val="caption"/>
    <w:basedOn w:val="1"/>
    <w:next w:val="1"/>
    <w:qFormat/>
    <w:uiPriority w:val="35"/>
    <w:rPr>
      <w:rFonts w:ascii="Cambria" w:hAnsi="Cambria" w:eastAsia="黑体"/>
      <w:sz w:val="20"/>
    </w:rPr>
  </w:style>
  <w:style w:type="paragraph" w:styleId="7">
    <w:name w:val="toc 3"/>
    <w:basedOn w:val="1"/>
    <w:next w:val="1"/>
    <w:qFormat/>
    <w:uiPriority w:val="0"/>
    <w:pPr>
      <w:tabs>
        <w:tab w:val="right" w:leader="dot" w:pos="8100"/>
      </w:tabs>
      <w:ind w:firstLine="178" w:firstLineChars="85"/>
    </w:pPr>
  </w:style>
  <w:style w:type="paragraph" w:styleId="8">
    <w:name w:val="Balloon Text"/>
    <w:basedOn w:val="1"/>
    <w:link w:val="28"/>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0"/>
  </w:style>
  <w:style w:type="character" w:styleId="16">
    <w:name w:val="Hyperlink"/>
    <w:qFormat/>
    <w:uiPriority w:val="0"/>
    <w:rPr>
      <w:color w:val="0000FF"/>
      <w:u w:val="single"/>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9">
    <w:name w:val="Light Shading Accent 2"/>
    <w:basedOn w:val="17"/>
    <w:qFormat/>
    <w:uiPriority w:val="60"/>
    <w:rPr>
      <w:rFonts w:ascii="Calibri" w:hAnsi="Calibri"/>
      <w:color w:val="943634"/>
      <w:kern w:val="2"/>
      <w:sz w:val="21"/>
      <w:szCs w:val="22"/>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blLayout w:type="fixed"/>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l2br w:val="nil"/>
          <w:tr2bl w:val="nil"/>
        </w:tcBorders>
        <w:shd w:val="clear" w:color="auto" w:fill="EFD3D2"/>
      </w:tcPr>
    </w:tblStylePr>
    <w:tblStylePr w:type="band1Horz">
      <w:tblPr>
        <w:tblLayout w:type="fixed"/>
      </w:tblPr>
      <w:tcPr>
        <w:tcBorders>
          <w:top w:val="nil"/>
          <w:left w:val="nil"/>
          <w:bottom w:val="nil"/>
          <w:right w:val="nil"/>
          <w:insideH w:val="nil"/>
          <w:insideV w:val="nil"/>
          <w:tl2br w:val="nil"/>
          <w:tr2bl w:val="nil"/>
        </w:tcBorders>
        <w:shd w:val="clear" w:color="auto" w:fill="EFD3D2"/>
      </w:tcPr>
    </w:tblStylePr>
  </w:style>
  <w:style w:type="character" w:customStyle="1" w:styleId="20">
    <w:name w:val="页码1"/>
    <w:basedOn w:val="14"/>
    <w:qFormat/>
    <w:uiPriority w:val="0"/>
  </w:style>
  <w:style w:type="character" w:customStyle="1" w:styleId="21">
    <w:name w:val="访问过的超链接"/>
    <w:qFormat/>
    <w:uiPriority w:val="0"/>
    <w:rPr>
      <w:color w:val="800080"/>
      <w:u w:val="single"/>
    </w:rPr>
  </w:style>
  <w:style w:type="paragraph" w:styleId="22">
    <w:name w:val="List Paragraph"/>
    <w:qFormat/>
    <w:uiPriority w:val="0"/>
    <w:pPr>
      <w:ind w:firstLine="420" w:firstLineChars="200"/>
    </w:pPr>
    <w:rPr>
      <w:rFonts w:ascii="Times New Roman" w:hAnsi="Times New Roman" w:eastAsia="宋体" w:cs="Times New Roman"/>
      <w:lang w:val="en-US" w:eastAsia="zh-CN" w:bidi="ar-SA"/>
    </w:rPr>
  </w:style>
  <w:style w:type="paragraph" w:customStyle="1" w:styleId="23">
    <w:name w:val="p15"/>
    <w:basedOn w:val="1"/>
    <w:qFormat/>
    <w:uiPriority w:val="0"/>
    <w:pPr>
      <w:widowControl/>
    </w:pPr>
    <w:rPr>
      <w:kern w:val="0"/>
      <w:szCs w:val="21"/>
    </w:rPr>
  </w:style>
  <w:style w:type="paragraph" w:customStyle="1" w:styleId="24">
    <w:name w:val="Header"/>
    <w:qFormat/>
    <w:uiPriority w:val="0"/>
    <w:pPr>
      <w:tabs>
        <w:tab w:val="right" w:pos="9792"/>
      </w:tabs>
      <w:ind w:firstLine="180"/>
      <w:outlineLvl w:val="0"/>
    </w:pPr>
    <w:rPr>
      <w:rFonts w:ascii="Gill Sans" w:hAnsi="Gill Sans" w:eastAsia="ヒラギノ角ゴ Pro W3" w:cs="Times New Roman"/>
      <w:caps/>
      <w:color w:val="FFFFFF"/>
      <w:sz w:val="18"/>
      <w:lang w:val="en-US" w:eastAsia="zh-CN" w:bidi="ar-SA"/>
    </w:rPr>
  </w:style>
  <w:style w:type="paragraph" w:customStyle="1" w:styleId="25">
    <w:name w:val="列出段落1"/>
    <w:basedOn w:val="1"/>
    <w:qFormat/>
    <w:uiPriority w:val="0"/>
    <w:pPr>
      <w:ind w:firstLine="420" w:firstLineChars="200"/>
    </w:pPr>
    <w:rPr>
      <w:rFonts w:ascii="Calibri" w:hAnsi="Calibri"/>
      <w:szCs w:val="22"/>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p17"/>
    <w:basedOn w:val="1"/>
    <w:qFormat/>
    <w:uiPriority w:val="0"/>
    <w:pPr>
      <w:widowControl/>
    </w:pPr>
    <w:rPr>
      <w:kern w:val="0"/>
      <w:szCs w:val="21"/>
    </w:rPr>
  </w:style>
  <w:style w:type="character" w:customStyle="1" w:styleId="28">
    <w:name w:val="批注框文本 Char"/>
    <w:basedOn w:val="14"/>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369</Words>
  <Characters>2106</Characters>
  <Lines>17</Lines>
  <Paragraphs>4</Paragraphs>
  <TotalTime>106</TotalTime>
  <ScaleCrop>false</ScaleCrop>
  <LinksUpToDate>false</LinksUpToDate>
  <CharactersWithSpaces>2471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2018-07-11T07:29:00Z</dcterms:created>
  <dc:creator>gzqh</dc:creator>
  <cp:lastModifiedBy>gzqh</cp:lastModifiedBy>
  <cp:lastPrinted>2017-09-18T09:17:00Z</cp:lastPrinted>
  <dcterms:modified xsi:type="dcterms:W3CDTF">2018-09-03T08:12:24Z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