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88" w:rsidRPr="007F1F91" w:rsidRDefault="00547688" w:rsidP="004B4C27">
      <w:pPr>
        <w:widowControl/>
        <w:jc w:val="left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附件</w:t>
      </w:r>
      <w:r w:rsidRPr="00AD488C">
        <w:rPr>
          <w:rFonts w:ascii="方正仿宋简体" w:eastAsia="方正仿宋简体" w:cs="方正仿宋简体"/>
          <w:sz w:val="30"/>
          <w:szCs w:val="30"/>
        </w:rPr>
        <w:t>1</w:t>
      </w:r>
    </w:p>
    <w:p w:rsidR="00547688" w:rsidRDefault="00547688" w:rsidP="004B4C27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AD488C">
        <w:rPr>
          <w:rFonts w:ascii="方正大标宋简体" w:eastAsia="方正大标宋简体" w:hAnsi="宋体" w:cs="方正大标宋简体" w:hint="eastAsia"/>
          <w:sz w:val="42"/>
          <w:szCs w:val="42"/>
        </w:rPr>
        <w:t>上海期货交易所漂白硫酸盐针叶木浆期货</w:t>
      </w:r>
    </w:p>
    <w:p w:rsidR="00547688" w:rsidRPr="00DE10FF" w:rsidRDefault="00547688" w:rsidP="004B4C27">
      <w:pPr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AD488C">
        <w:rPr>
          <w:rFonts w:ascii="方正大标宋简体" w:eastAsia="方正大标宋简体" w:hAnsi="宋体" w:cs="方正大标宋简体" w:hint="eastAsia"/>
          <w:sz w:val="42"/>
          <w:szCs w:val="42"/>
        </w:rPr>
        <w:t>合约（征求意见稿）</w:t>
      </w:r>
    </w:p>
    <w:p w:rsidR="00547688" w:rsidRPr="001F60B1" w:rsidRDefault="00547688" w:rsidP="004B4C27">
      <w:pPr>
        <w:spacing w:line="560" w:lineRule="exact"/>
        <w:jc w:val="center"/>
        <w:rPr>
          <w:rFonts w:ascii="方正仿宋简体" w:eastAsia="方正仿宋简体" w:hAnsi="宋体"/>
          <w:b/>
          <w:bCs/>
          <w:sz w:val="28"/>
          <w:szCs w:val="28"/>
        </w:rPr>
      </w:pP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4830"/>
      </w:tblGrid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交易品种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漂白硫酸盐针叶木浆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交易单位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10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吨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/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手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报价单位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元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(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人民币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)/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吨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最小变动价位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2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元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/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吨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涨跌停板幅度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上一交易日结算价±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3%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合约月份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646E75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</w:t>
            </w:r>
            <w:r>
              <w:rPr>
                <w:rFonts w:ascii="方正仿宋简体" w:eastAsia="方正仿宋简体" w:hAnsi="仿宋" w:cs="方正仿宋简体"/>
                <w:sz w:val="24"/>
                <w:szCs w:val="24"/>
              </w:rPr>
              <w:t>-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12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月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交易时间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上午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9:00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～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11:30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，下午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1:30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～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3:00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和交易所规定的其他交易时间。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最后交易日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6154D2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合约月份的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15</w:t>
            </w: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日</w:t>
            </w:r>
            <w:r w:rsidRPr="00A905F7">
              <w:rPr>
                <w:rFonts w:ascii="方正仿宋简体" w:eastAsia="方正仿宋简体" w:cs="方正仿宋简体" w:hint="eastAsia"/>
                <w:sz w:val="24"/>
                <w:szCs w:val="24"/>
              </w:rPr>
              <w:t>（遇国家法定节假日顺延</w:t>
            </w:r>
            <w:r w:rsidRPr="00A905F7">
              <w:rPr>
                <w:sz w:val="24"/>
                <w:szCs w:val="24"/>
              </w:rPr>
              <w:t>,</w:t>
            </w:r>
            <w:r w:rsidRPr="00A905F7">
              <w:rPr>
                <w:rFonts w:ascii="方正仿宋简体" w:eastAsia="方正仿宋简体" w:cs="方正仿宋简体" w:hint="eastAsia"/>
                <w:sz w:val="24"/>
                <w:szCs w:val="24"/>
              </w:rPr>
              <w:t>春节月份等最后交易日交易所可另行调整并通知）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交割日期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最后交易日后连续五个工作日</w:t>
            </w:r>
          </w:p>
        </w:tc>
      </w:tr>
      <w:tr w:rsidR="00547688" w:rsidRPr="00DE10FF">
        <w:trPr>
          <w:trHeight w:val="862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交割品级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color w:val="548DD4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漂白硫酸盐针叶木浆，具体质量规定见附件。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交割地点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cs="方正仿宋简体" w:hint="eastAsia"/>
                <w:sz w:val="24"/>
                <w:szCs w:val="24"/>
              </w:rPr>
              <w:t>交易所指定交割仓库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最低交易保证金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合约价值的</w:t>
            </w: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4%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交割方式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实物交割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交割单位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>
              <w:rPr>
                <w:rFonts w:ascii="方正仿宋简体" w:eastAsia="方正仿宋简体" w:hAnsi="仿宋" w:cs="方正仿宋简体"/>
                <w:sz w:val="24"/>
                <w:szCs w:val="24"/>
              </w:rPr>
              <w:t>20</w:t>
            </w:r>
            <w:r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吨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交易代码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b/>
                <w:bCs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/>
                <w:sz w:val="24"/>
                <w:szCs w:val="24"/>
              </w:rPr>
              <w:t>SP</w:t>
            </w:r>
          </w:p>
        </w:tc>
      </w:tr>
      <w:tr w:rsidR="00547688" w:rsidRPr="00DE10FF">
        <w:trPr>
          <w:trHeight w:val="336"/>
          <w:jc w:val="center"/>
        </w:trPr>
        <w:tc>
          <w:tcPr>
            <w:tcW w:w="3227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上市交易所</w:t>
            </w:r>
          </w:p>
        </w:tc>
        <w:tc>
          <w:tcPr>
            <w:tcW w:w="4830" w:type="dxa"/>
            <w:vAlign w:val="center"/>
          </w:tcPr>
          <w:p w:rsidR="00547688" w:rsidRPr="005F5202" w:rsidRDefault="00547688" w:rsidP="00293A81">
            <w:pPr>
              <w:spacing w:line="560" w:lineRule="exact"/>
              <w:rPr>
                <w:rFonts w:ascii="方正仿宋简体" w:eastAsia="方正仿宋简体" w:hAnsi="仿宋"/>
                <w:sz w:val="24"/>
                <w:szCs w:val="24"/>
              </w:rPr>
            </w:pPr>
            <w:r w:rsidRPr="00AD488C">
              <w:rPr>
                <w:rFonts w:ascii="方正仿宋简体" w:eastAsia="方正仿宋简体" w:hAnsi="仿宋" w:cs="方正仿宋简体" w:hint="eastAsia"/>
                <w:sz w:val="24"/>
                <w:szCs w:val="24"/>
              </w:rPr>
              <w:t>上海期货交易所</w:t>
            </w:r>
          </w:p>
        </w:tc>
      </w:tr>
    </w:tbl>
    <w:p w:rsidR="00547688" w:rsidRDefault="00547688"/>
    <w:p w:rsidR="00547688" w:rsidRDefault="00547688"/>
    <w:p w:rsidR="00547688" w:rsidRDefault="00547688"/>
    <w:p w:rsidR="00547688" w:rsidRDefault="00547688" w:rsidP="00BD0B51">
      <w:pPr>
        <w:widowControl/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AD488C">
        <w:rPr>
          <w:rFonts w:ascii="方正大标宋简体" w:eastAsia="方正大标宋简体" w:hAnsi="宋体" w:cs="方正大标宋简体" w:hint="eastAsia"/>
          <w:sz w:val="42"/>
          <w:szCs w:val="42"/>
        </w:rPr>
        <w:t>上海期货交易所漂白硫酸盐针叶木浆期货</w:t>
      </w:r>
    </w:p>
    <w:p w:rsidR="00547688" w:rsidRPr="00351A0A" w:rsidRDefault="00547688" w:rsidP="00BD0B51">
      <w:pPr>
        <w:widowControl/>
        <w:spacing w:line="560" w:lineRule="exact"/>
        <w:jc w:val="center"/>
        <w:rPr>
          <w:rFonts w:ascii="方正大标宋简体" w:eastAsia="方正大标宋简体" w:hAnsi="宋体"/>
          <w:sz w:val="42"/>
          <w:szCs w:val="42"/>
        </w:rPr>
      </w:pPr>
      <w:r w:rsidRPr="00AD488C">
        <w:rPr>
          <w:rFonts w:ascii="方正大标宋简体" w:eastAsia="方正大标宋简体" w:hAnsi="宋体" w:cs="方正大标宋简体" w:hint="eastAsia"/>
          <w:sz w:val="42"/>
          <w:szCs w:val="42"/>
        </w:rPr>
        <w:t>合约附件</w:t>
      </w:r>
    </w:p>
    <w:p w:rsidR="00547688" w:rsidRPr="001F60B1" w:rsidRDefault="00547688" w:rsidP="00BD0B51">
      <w:pPr>
        <w:spacing w:line="560" w:lineRule="exact"/>
        <w:jc w:val="center"/>
        <w:rPr>
          <w:rFonts w:ascii="方正仿宋简体" w:eastAsia="方正仿宋简体" w:hAnsi="宋体"/>
          <w:b/>
          <w:bCs/>
          <w:sz w:val="28"/>
          <w:szCs w:val="28"/>
        </w:rPr>
      </w:pP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黑体简体" w:eastAsia="方正黑体简体" w:hAnsi="宋体"/>
          <w:sz w:val="30"/>
          <w:szCs w:val="30"/>
        </w:rPr>
      </w:pPr>
      <w:r w:rsidRPr="001F60B1">
        <w:rPr>
          <w:rFonts w:ascii="方正黑体简体" w:eastAsia="方正黑体简体" w:hAnsi="宋体" w:cs="方正黑体简体" w:hint="eastAsia"/>
          <w:sz w:val="30"/>
          <w:szCs w:val="30"/>
        </w:rPr>
        <w:t>一、交割单位</w:t>
      </w:r>
    </w:p>
    <w:p w:rsidR="00547688" w:rsidRPr="003D153D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3D153D">
        <w:rPr>
          <w:rFonts w:ascii="方正仿宋简体" w:eastAsia="方正仿宋简体" w:hAnsi="宋体" w:cs="方正仿宋简体" w:hint="eastAsia"/>
          <w:sz w:val="30"/>
          <w:szCs w:val="30"/>
        </w:rPr>
        <w:t>漂白硫酸盐针叶木浆（以下简称漂针浆）期货合约的交易单位为每手</w:t>
      </w:r>
      <w:r w:rsidRPr="00AD488C">
        <w:rPr>
          <w:rFonts w:ascii="方正仿宋简体" w:eastAsia="方正仿宋简体" w:cs="方正仿宋简体"/>
          <w:sz w:val="30"/>
          <w:szCs w:val="30"/>
        </w:rPr>
        <w:t>10</w:t>
      </w:r>
      <w:r w:rsidRPr="003D153D">
        <w:rPr>
          <w:rFonts w:ascii="方正仿宋简体" w:eastAsia="方正仿宋简体" w:hAnsi="宋体" w:cs="方正仿宋简体" w:hint="eastAsia"/>
          <w:sz w:val="30"/>
          <w:szCs w:val="30"/>
        </w:rPr>
        <w:t>吨，交割单位为每一标准仓单重量（风干重）</w:t>
      </w:r>
      <w:r w:rsidRPr="00AD488C">
        <w:rPr>
          <w:rFonts w:ascii="方正仿宋简体" w:eastAsia="方正仿宋简体" w:cs="方正仿宋简体"/>
          <w:sz w:val="30"/>
          <w:szCs w:val="30"/>
        </w:rPr>
        <w:t>20</w:t>
      </w:r>
      <w:r w:rsidRPr="003D153D">
        <w:rPr>
          <w:rFonts w:ascii="方正仿宋简体" w:eastAsia="方正仿宋简体" w:hAnsi="宋体" w:cs="方正仿宋简体" w:hint="eastAsia"/>
          <w:sz w:val="30"/>
          <w:szCs w:val="30"/>
        </w:rPr>
        <w:t>吨，交割应当以每一标准仓单的整数倍交割。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黑体简体" w:eastAsia="方正黑体简体" w:hAnsi="宋体"/>
          <w:sz w:val="30"/>
          <w:szCs w:val="30"/>
        </w:rPr>
      </w:pPr>
      <w:r w:rsidRPr="001F60B1">
        <w:rPr>
          <w:rFonts w:ascii="方正黑体简体" w:eastAsia="方正黑体简体" w:hAnsi="宋体" w:cs="方正黑体简体" w:hint="eastAsia"/>
          <w:sz w:val="30"/>
          <w:szCs w:val="30"/>
        </w:rPr>
        <w:t>二、质量规定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1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用于实物交割的漂针浆，其抗张指数、耐破指数和撕裂指数等三个指标应当符合或优于</w:t>
      </w:r>
      <w:r w:rsidRPr="00AD488C">
        <w:rPr>
          <w:rFonts w:ascii="方正仿宋简体" w:eastAsia="方正仿宋简体" w:hAnsi="宋体" w:cs="方正仿宋简体"/>
          <w:sz w:val="30"/>
          <w:szCs w:val="30"/>
        </w:rPr>
        <w:t>QB/T1678-2017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《漂白硫酸盐木浆》中针叶木浆一等品质量规定，尘埃指标应当符合或优于优等品质量规定，且</w:t>
      </w:r>
      <w:r w:rsidRPr="00AD488C">
        <w:rPr>
          <w:rFonts w:ascii="方正仿宋简体" w:eastAsia="方正仿宋简体" w:hAnsi="宋体" w:cs="方正仿宋简体"/>
          <w:sz w:val="30"/>
          <w:szCs w:val="30"/>
        </w:rPr>
        <w:t>D65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亮度指标应当不小于</w:t>
      </w:r>
      <w:r w:rsidRPr="00AD488C">
        <w:rPr>
          <w:rFonts w:ascii="方正仿宋简体" w:eastAsia="方正仿宋简体" w:hAnsi="宋体" w:cs="方正仿宋简体"/>
          <w:sz w:val="30"/>
          <w:szCs w:val="30"/>
        </w:rPr>
        <w:t>87%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2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每一标准仓单的漂针浆，应当是交易所认可的生产企业生产的指定品牌，应当附有相应的质量证明书。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3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每一标准仓单的漂针</w:t>
      </w:r>
      <w:bookmarkStart w:id="0" w:name="_GoBack"/>
      <w:bookmarkEnd w:id="0"/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浆，应当是同一生产厂生产、同一品牌的正品浆商品组成。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4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漂针浆交割以实测风干重计重。每一标准仓单的溢短不超过</w:t>
      </w:r>
      <w:r w:rsidRPr="00A905F7">
        <w:rPr>
          <w:rFonts w:ascii="方正仿宋简体" w:eastAsia="方正仿宋简体" w:hAnsi="宋体" w:cs="方正仿宋简体" w:hint="eastAsia"/>
          <w:sz w:val="30"/>
          <w:szCs w:val="30"/>
        </w:rPr>
        <w:t>±</w:t>
      </w:r>
      <w:r w:rsidRPr="00A905F7">
        <w:rPr>
          <w:rFonts w:ascii="方正仿宋简体" w:eastAsia="方正仿宋简体" w:hAnsi="宋体" w:cs="方正仿宋简体"/>
          <w:sz w:val="30"/>
          <w:szCs w:val="30"/>
        </w:rPr>
        <w:t>5%</w:t>
      </w:r>
      <w:r w:rsidRPr="00A905F7">
        <w:rPr>
          <w:rFonts w:ascii="方正仿宋简体" w:eastAsia="方正仿宋简体" w:hAnsi="宋体" w:cs="方正仿宋简体" w:hint="eastAsia"/>
          <w:sz w:val="30"/>
          <w:szCs w:val="30"/>
        </w:rPr>
        <w:t>，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重量误差不超过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±</w:t>
      </w:r>
      <w:r w:rsidRPr="00AD488C">
        <w:rPr>
          <w:rFonts w:ascii="方正仿宋简体" w:eastAsia="方正仿宋简体" w:hAnsi="宋体" w:cs="方正仿宋简体"/>
          <w:sz w:val="30"/>
          <w:szCs w:val="30"/>
        </w:rPr>
        <w:t>1%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5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每一标准仓单应当载明重量和件数。包装应当符合交易所的相关规定。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AD488C">
        <w:rPr>
          <w:rFonts w:ascii="方正仿宋简体" w:eastAsia="方正仿宋简体" w:hAnsi="宋体" w:cs="方正仿宋简体"/>
          <w:sz w:val="30"/>
          <w:szCs w:val="30"/>
        </w:rPr>
        <w:t>6</w:t>
      </w:r>
      <w:r w:rsidRPr="00AD488C">
        <w:rPr>
          <w:rFonts w:ascii="方正仿宋简体" w:eastAsia="方正仿宋简体" w:hAnsi="宋体" w:cs="方正仿宋简体" w:hint="eastAsia"/>
          <w:sz w:val="30"/>
          <w:szCs w:val="30"/>
        </w:rPr>
        <w:t>、</w:t>
      </w: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标准仓单应当由交易所指定交割仓库按规定验收合格后出具。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黑体简体" w:eastAsia="方正黑体简体" w:hAnsi="宋体"/>
          <w:sz w:val="30"/>
          <w:szCs w:val="30"/>
        </w:rPr>
      </w:pPr>
      <w:r w:rsidRPr="001F60B1">
        <w:rPr>
          <w:rFonts w:ascii="方正黑体简体" w:eastAsia="方正黑体简体" w:hAnsi="宋体" w:cs="方正黑体简体" w:hint="eastAsia"/>
          <w:sz w:val="30"/>
          <w:szCs w:val="30"/>
        </w:rPr>
        <w:t>三、交易所认可的生产企业和指定品牌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用于实物交割的漂针浆，应当是交易所指定的品牌。具体的生产企业和指定品牌，由交易所另行规定并公告。</w:t>
      </w:r>
    </w:p>
    <w:p w:rsidR="00547688" w:rsidRPr="001F60B1" w:rsidRDefault="00547688" w:rsidP="00C60437">
      <w:pPr>
        <w:spacing w:line="600" w:lineRule="exact"/>
        <w:ind w:firstLineChars="200" w:firstLine="31680"/>
        <w:rPr>
          <w:rFonts w:ascii="方正黑体简体" w:eastAsia="方正黑体简体" w:hAnsi="宋体"/>
          <w:sz w:val="30"/>
          <w:szCs w:val="30"/>
        </w:rPr>
      </w:pPr>
      <w:r w:rsidRPr="001F60B1">
        <w:rPr>
          <w:rFonts w:ascii="方正黑体简体" w:eastAsia="方正黑体简体" w:hAnsi="宋体" w:cs="方正黑体简体" w:hint="eastAsia"/>
          <w:sz w:val="30"/>
          <w:szCs w:val="30"/>
        </w:rPr>
        <w:t>四、指定交割仓库</w:t>
      </w:r>
    </w:p>
    <w:p w:rsidR="00547688" w:rsidRPr="0020329D" w:rsidRDefault="00547688" w:rsidP="00C60437">
      <w:pPr>
        <w:spacing w:line="600" w:lineRule="exact"/>
        <w:ind w:firstLineChars="200" w:firstLine="31680"/>
        <w:rPr>
          <w:rFonts w:ascii="方正仿宋简体" w:eastAsia="方正仿宋简体" w:hAnsi="宋体"/>
          <w:sz w:val="30"/>
          <w:szCs w:val="30"/>
        </w:rPr>
      </w:pPr>
      <w:r w:rsidRPr="001F60B1">
        <w:rPr>
          <w:rFonts w:ascii="方正仿宋简体" w:eastAsia="方正仿宋简体" w:hAnsi="宋体" w:cs="方正仿宋简体" w:hint="eastAsia"/>
          <w:sz w:val="30"/>
          <w:szCs w:val="30"/>
        </w:rPr>
        <w:t>由交易所指定并另行公告。</w:t>
      </w:r>
    </w:p>
    <w:p w:rsidR="00547688" w:rsidRDefault="00547688" w:rsidP="00BD0B51"/>
    <w:sectPr w:rsidR="00547688" w:rsidSect="000376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88" w:rsidRDefault="00547688" w:rsidP="00BD0B51">
      <w:r>
        <w:separator/>
      </w:r>
    </w:p>
  </w:endnote>
  <w:endnote w:type="continuationSeparator" w:id="1">
    <w:p w:rsidR="00547688" w:rsidRDefault="00547688" w:rsidP="00BD0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8" w:rsidRDefault="00547688">
    <w:pPr>
      <w:pStyle w:val="Footer"/>
      <w:jc w:val="center"/>
    </w:pPr>
    <w:fldSimple w:instr=" PAGE   \* MERGEFORMAT ">
      <w:r w:rsidRPr="00C60437">
        <w:rPr>
          <w:noProof/>
          <w:lang w:val="zh-CN"/>
        </w:rPr>
        <w:t>2</w:t>
      </w:r>
    </w:fldSimple>
  </w:p>
  <w:p w:rsidR="00547688" w:rsidRDefault="00547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88" w:rsidRDefault="00547688" w:rsidP="00BD0B51">
      <w:r>
        <w:separator/>
      </w:r>
    </w:p>
  </w:footnote>
  <w:footnote w:type="continuationSeparator" w:id="1">
    <w:p w:rsidR="00547688" w:rsidRDefault="00547688" w:rsidP="00BD0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C27"/>
    <w:rsid w:val="000077D9"/>
    <w:rsid w:val="00037604"/>
    <w:rsid w:val="00094069"/>
    <w:rsid w:val="000B6E41"/>
    <w:rsid w:val="00157118"/>
    <w:rsid w:val="001649E5"/>
    <w:rsid w:val="001C7059"/>
    <w:rsid w:val="001D2E0F"/>
    <w:rsid w:val="001F60B1"/>
    <w:rsid w:val="0020329D"/>
    <w:rsid w:val="00220625"/>
    <w:rsid w:val="00293A81"/>
    <w:rsid w:val="002F032A"/>
    <w:rsid w:val="00346661"/>
    <w:rsid w:val="00351A0A"/>
    <w:rsid w:val="003D153D"/>
    <w:rsid w:val="004052D5"/>
    <w:rsid w:val="004301B0"/>
    <w:rsid w:val="004A307B"/>
    <w:rsid w:val="004B1A4A"/>
    <w:rsid w:val="004B4C27"/>
    <w:rsid w:val="004D3177"/>
    <w:rsid w:val="004D5B15"/>
    <w:rsid w:val="00547688"/>
    <w:rsid w:val="00584DB7"/>
    <w:rsid w:val="00590AA6"/>
    <w:rsid w:val="005E3877"/>
    <w:rsid w:val="005F5202"/>
    <w:rsid w:val="006154D2"/>
    <w:rsid w:val="00644E3A"/>
    <w:rsid w:val="00646E75"/>
    <w:rsid w:val="007102C1"/>
    <w:rsid w:val="007525E9"/>
    <w:rsid w:val="007640A3"/>
    <w:rsid w:val="007F1F91"/>
    <w:rsid w:val="00815ED0"/>
    <w:rsid w:val="008C5D81"/>
    <w:rsid w:val="009A4E01"/>
    <w:rsid w:val="009D7BC3"/>
    <w:rsid w:val="00A16A04"/>
    <w:rsid w:val="00A905F7"/>
    <w:rsid w:val="00AD488C"/>
    <w:rsid w:val="00B43D96"/>
    <w:rsid w:val="00BB4580"/>
    <w:rsid w:val="00BD0B51"/>
    <w:rsid w:val="00C60437"/>
    <w:rsid w:val="00C71862"/>
    <w:rsid w:val="00C9666B"/>
    <w:rsid w:val="00D31879"/>
    <w:rsid w:val="00D40755"/>
    <w:rsid w:val="00D47A27"/>
    <w:rsid w:val="00D65AA3"/>
    <w:rsid w:val="00DE10FF"/>
    <w:rsid w:val="00E961C1"/>
    <w:rsid w:val="00EA787A"/>
    <w:rsid w:val="00F46A57"/>
    <w:rsid w:val="00F824AD"/>
    <w:rsid w:val="00F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2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0B5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0B51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154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4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3</Pages>
  <Words>127</Words>
  <Characters>728</Characters>
  <Application>Microsoft Office Outlook</Application>
  <DocSecurity>0</DocSecurity>
  <Lines>0</Lines>
  <Paragraphs>0</Paragraphs>
  <ScaleCrop>false</ScaleCrop>
  <Company>SHFE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王梦瑶</dc:creator>
  <cp:keywords/>
  <dc:description/>
  <cp:lastModifiedBy>lq</cp:lastModifiedBy>
  <cp:revision>30</cp:revision>
  <cp:lastPrinted>2018-10-11T09:05:00Z</cp:lastPrinted>
  <dcterms:created xsi:type="dcterms:W3CDTF">2017-08-02T01:22:00Z</dcterms:created>
  <dcterms:modified xsi:type="dcterms:W3CDTF">2018-10-11T09:06:00Z</dcterms:modified>
</cp:coreProperties>
</file>