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D3" w:rsidRDefault="002274D3" w:rsidP="002274D3">
      <w:pPr>
        <w:rPr>
          <w:rFonts w:eastAsia="方正大标宋简体" w:hint="eastAsia"/>
          <w:bCs/>
          <w:kern w:val="0"/>
          <w:sz w:val="42"/>
          <w:szCs w:val="42"/>
        </w:rPr>
      </w:pPr>
      <w:r w:rsidRPr="00096CFA">
        <w:rPr>
          <w:rFonts w:eastAsia="方正大标宋简体"/>
          <w:bCs/>
          <w:kern w:val="0"/>
          <w:sz w:val="42"/>
          <w:szCs w:val="42"/>
        </w:rPr>
        <w:t>附件</w:t>
      </w:r>
      <w:r w:rsidRPr="00096CFA">
        <w:rPr>
          <w:rFonts w:eastAsia="方正大标宋简体"/>
          <w:bCs/>
          <w:kern w:val="0"/>
          <w:sz w:val="42"/>
          <w:szCs w:val="42"/>
        </w:rPr>
        <w:t>2</w:t>
      </w:r>
    </w:p>
    <w:p w:rsidR="002274D3" w:rsidRPr="00096CFA" w:rsidRDefault="002274D3" w:rsidP="002274D3">
      <w:pPr>
        <w:rPr>
          <w:rFonts w:eastAsia="方正大标宋简体" w:hint="eastAsia"/>
          <w:bCs/>
          <w:kern w:val="0"/>
          <w:sz w:val="42"/>
          <w:szCs w:val="42"/>
        </w:rPr>
      </w:pPr>
    </w:p>
    <w:p w:rsidR="002274D3" w:rsidRPr="00096CFA" w:rsidRDefault="002274D3" w:rsidP="002274D3">
      <w:pPr>
        <w:jc w:val="center"/>
        <w:rPr>
          <w:rFonts w:eastAsia="方正大标宋简体"/>
          <w:bCs/>
          <w:kern w:val="0"/>
          <w:sz w:val="42"/>
          <w:szCs w:val="42"/>
        </w:rPr>
      </w:pPr>
      <w:r w:rsidRPr="00096CFA">
        <w:rPr>
          <w:rFonts w:eastAsia="方正大标宋简体"/>
          <w:bCs/>
          <w:kern w:val="0"/>
          <w:sz w:val="42"/>
          <w:szCs w:val="42"/>
        </w:rPr>
        <w:t>上海期货交易所交割细则</w:t>
      </w:r>
    </w:p>
    <w:p w:rsidR="002274D3" w:rsidRPr="00096CFA" w:rsidRDefault="002274D3" w:rsidP="002274D3">
      <w:pPr>
        <w:jc w:val="center"/>
        <w:rPr>
          <w:rFonts w:eastAsia="方正大标宋简体"/>
          <w:bCs/>
          <w:kern w:val="0"/>
          <w:sz w:val="42"/>
          <w:szCs w:val="42"/>
        </w:rPr>
      </w:pPr>
      <w:r w:rsidRPr="00096CFA">
        <w:rPr>
          <w:rFonts w:eastAsia="方正大标宋简体"/>
          <w:bCs/>
          <w:kern w:val="0"/>
          <w:sz w:val="42"/>
          <w:szCs w:val="42"/>
        </w:rPr>
        <w:t>（修订案）</w:t>
      </w:r>
    </w:p>
    <w:p w:rsidR="002274D3" w:rsidRDefault="002274D3" w:rsidP="002274D3">
      <w:pPr>
        <w:autoSpaceDE w:val="0"/>
        <w:autoSpaceDN w:val="0"/>
        <w:adjustRightInd w:val="0"/>
        <w:spacing w:line="480" w:lineRule="exact"/>
        <w:ind w:firstLineChars="200" w:firstLine="640"/>
        <w:rPr>
          <w:rFonts w:ascii="仿宋" w:eastAsia="仿宋" w:hAnsi="仿宋"/>
          <w:color w:val="000000"/>
          <w:kern w:val="0"/>
          <w:sz w:val="32"/>
          <w:szCs w:val="32"/>
        </w:rPr>
      </w:pPr>
    </w:p>
    <w:p w:rsidR="002274D3" w:rsidRPr="00096CFA" w:rsidRDefault="002274D3" w:rsidP="002274D3">
      <w:pPr>
        <w:autoSpaceDE w:val="0"/>
        <w:autoSpaceDN w:val="0"/>
        <w:adjustRightInd w:val="0"/>
        <w:spacing w:line="600" w:lineRule="exact"/>
        <w:ind w:firstLineChars="200" w:firstLine="602"/>
        <w:rPr>
          <w:rFonts w:eastAsia="方正仿宋简体"/>
          <w:color w:val="000000"/>
          <w:kern w:val="0"/>
          <w:sz w:val="30"/>
          <w:szCs w:val="30"/>
        </w:rPr>
      </w:pPr>
      <w:r w:rsidRPr="00096CFA">
        <w:rPr>
          <w:rFonts w:ascii="方正黑体简体" w:eastAsia="方正黑体简体" w:hint="eastAsia"/>
          <w:b/>
          <w:color w:val="000000"/>
          <w:kern w:val="0"/>
          <w:sz w:val="30"/>
          <w:szCs w:val="30"/>
        </w:rPr>
        <w:t>第七十四条</w:t>
      </w:r>
      <w:r w:rsidRPr="00096CFA">
        <w:rPr>
          <w:rFonts w:eastAsia="方正仿宋简体"/>
          <w:color w:val="000000"/>
          <w:kern w:val="0"/>
          <w:sz w:val="30"/>
          <w:szCs w:val="30"/>
        </w:rPr>
        <w:t xml:space="preserve"> </w:t>
      </w:r>
      <w:r w:rsidRPr="00096CFA">
        <w:rPr>
          <w:rFonts w:eastAsia="方正仿宋简体"/>
          <w:color w:val="000000"/>
          <w:kern w:val="0"/>
          <w:sz w:val="30"/>
          <w:szCs w:val="30"/>
        </w:rPr>
        <w:t>交割线材质量规定</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200" w:firstLine="600"/>
        <w:rPr>
          <w:rFonts w:eastAsia="方正仿宋简体"/>
          <w:color w:val="000000"/>
          <w:kern w:val="0"/>
          <w:sz w:val="30"/>
          <w:szCs w:val="30"/>
        </w:rPr>
      </w:pPr>
      <w:r w:rsidRPr="00096CFA">
        <w:rPr>
          <w:rFonts w:eastAsia="方正仿宋简体"/>
          <w:color w:val="000000"/>
          <w:kern w:val="0"/>
          <w:sz w:val="30"/>
          <w:szCs w:val="30"/>
        </w:rPr>
        <w:t>交割线材应当是在交易所注册的生产厂生产的</w:t>
      </w:r>
      <w:proofErr w:type="gramStart"/>
      <w:r w:rsidRPr="00096CFA">
        <w:rPr>
          <w:rFonts w:eastAsia="方正仿宋简体"/>
          <w:color w:val="000000"/>
          <w:kern w:val="0"/>
          <w:sz w:val="30"/>
          <w:szCs w:val="30"/>
        </w:rPr>
        <w:t>的</w:t>
      </w:r>
      <w:proofErr w:type="gramEnd"/>
      <w:r w:rsidRPr="00096CFA">
        <w:rPr>
          <w:rFonts w:eastAsia="方正仿宋简体"/>
          <w:color w:val="000000"/>
          <w:kern w:val="0"/>
          <w:sz w:val="30"/>
          <w:szCs w:val="30"/>
        </w:rPr>
        <w:t>注册商品。</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200" w:firstLine="600"/>
        <w:rPr>
          <w:rFonts w:eastAsia="方正仿宋简体"/>
          <w:color w:val="000000"/>
          <w:kern w:val="0"/>
          <w:sz w:val="30"/>
          <w:szCs w:val="30"/>
        </w:rPr>
      </w:pPr>
      <w:r w:rsidRPr="00096CFA">
        <w:rPr>
          <w:rFonts w:eastAsia="方正仿宋简体"/>
          <w:color w:val="000000"/>
          <w:kern w:val="0"/>
          <w:sz w:val="30"/>
          <w:szCs w:val="30"/>
        </w:rPr>
        <w:t>交割线材的外形、尺寸、重量及允许偏差应当符合国标</w:t>
      </w:r>
      <w:r w:rsidRPr="00096CFA">
        <w:rPr>
          <w:rFonts w:eastAsia="方正仿宋简体"/>
          <w:color w:val="000000"/>
          <w:sz w:val="30"/>
          <w:szCs w:val="30"/>
        </w:rPr>
        <w:t>GB</w:t>
      </w:r>
      <w:r w:rsidRPr="00096CFA">
        <w:rPr>
          <w:rFonts w:eastAsia="方正仿宋简体"/>
          <w:b/>
          <w:sz w:val="30"/>
          <w:szCs w:val="30"/>
          <w:shd w:val="clear" w:color="auto" w:fill="BFBFBF"/>
        </w:rPr>
        <w:t xml:space="preserve">/T </w:t>
      </w:r>
      <w:r w:rsidRPr="00096CFA">
        <w:rPr>
          <w:rFonts w:eastAsia="方正仿宋简体"/>
          <w:color w:val="000000"/>
          <w:sz w:val="30"/>
          <w:szCs w:val="30"/>
        </w:rPr>
        <w:t>1499.1-</w:t>
      </w:r>
      <w:r w:rsidRPr="00096CFA">
        <w:rPr>
          <w:rFonts w:eastAsia="方正仿宋简体"/>
          <w:b/>
          <w:sz w:val="30"/>
          <w:szCs w:val="30"/>
          <w:shd w:val="clear" w:color="auto" w:fill="BFBFBF"/>
        </w:rPr>
        <w:t>2017</w:t>
      </w:r>
      <w:r w:rsidRPr="00096CFA">
        <w:rPr>
          <w:rFonts w:eastAsia="方正仿宋简体"/>
          <w:dstrike/>
          <w:color w:val="000000"/>
          <w:sz w:val="30"/>
          <w:szCs w:val="30"/>
        </w:rPr>
        <w:t>2008</w:t>
      </w:r>
      <w:r w:rsidRPr="00096CFA">
        <w:rPr>
          <w:rFonts w:eastAsia="方正仿宋简体"/>
          <w:color w:val="000000"/>
          <w:kern w:val="0"/>
          <w:sz w:val="30"/>
          <w:szCs w:val="30"/>
        </w:rPr>
        <w:t>《钢筋混凝土用钢</w:t>
      </w:r>
      <w:r w:rsidRPr="00096CFA">
        <w:rPr>
          <w:rFonts w:eastAsia="方正仿宋简体"/>
          <w:color w:val="000000"/>
          <w:kern w:val="0"/>
          <w:sz w:val="30"/>
          <w:szCs w:val="30"/>
        </w:rPr>
        <w:t xml:space="preserve"> </w:t>
      </w:r>
      <w:r w:rsidRPr="00096CFA">
        <w:rPr>
          <w:rFonts w:eastAsia="方正仿宋简体"/>
          <w:color w:val="000000"/>
          <w:kern w:val="0"/>
          <w:sz w:val="30"/>
          <w:szCs w:val="30"/>
        </w:rPr>
        <w:t>第</w:t>
      </w:r>
      <w:r w:rsidRPr="00096CFA">
        <w:rPr>
          <w:rFonts w:eastAsia="方正仿宋简体"/>
          <w:color w:val="000000"/>
          <w:kern w:val="0"/>
          <w:sz w:val="30"/>
          <w:szCs w:val="30"/>
        </w:rPr>
        <w:t>1</w:t>
      </w:r>
      <w:r w:rsidRPr="00096CFA">
        <w:rPr>
          <w:rFonts w:eastAsia="方正仿宋简体"/>
          <w:color w:val="000000"/>
          <w:kern w:val="0"/>
          <w:sz w:val="30"/>
          <w:szCs w:val="30"/>
        </w:rPr>
        <w:t>部分：热轧光圆钢筋》的规定。</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200" w:firstLine="600"/>
        <w:rPr>
          <w:rFonts w:eastAsia="方正仿宋简体"/>
          <w:color w:val="000000"/>
          <w:kern w:val="0"/>
          <w:sz w:val="30"/>
          <w:szCs w:val="30"/>
        </w:rPr>
      </w:pPr>
      <w:r w:rsidRPr="00096CFA">
        <w:rPr>
          <w:rFonts w:eastAsia="方正仿宋简体"/>
          <w:color w:val="000000"/>
          <w:kern w:val="0"/>
          <w:sz w:val="30"/>
          <w:szCs w:val="30"/>
        </w:rPr>
        <w:t>交割线材的每批商品的有效期限为生产日起的</w:t>
      </w:r>
      <w:r w:rsidRPr="00096CFA">
        <w:rPr>
          <w:rFonts w:eastAsia="方正仿宋简体"/>
          <w:color w:val="000000"/>
          <w:kern w:val="0"/>
          <w:sz w:val="30"/>
          <w:szCs w:val="30"/>
        </w:rPr>
        <w:t>90</w:t>
      </w:r>
      <w:r w:rsidRPr="00096CFA">
        <w:rPr>
          <w:rFonts w:eastAsia="方正仿宋简体"/>
          <w:color w:val="000000"/>
          <w:kern w:val="0"/>
          <w:sz w:val="30"/>
          <w:szCs w:val="30"/>
        </w:rPr>
        <w:t>天内，并且应在生产日起的</w:t>
      </w:r>
      <w:r w:rsidRPr="00096CFA">
        <w:rPr>
          <w:rFonts w:eastAsia="方正仿宋简体"/>
          <w:color w:val="000000"/>
          <w:kern w:val="0"/>
          <w:sz w:val="30"/>
          <w:szCs w:val="30"/>
        </w:rPr>
        <w:t>30</w:t>
      </w:r>
      <w:r w:rsidRPr="00096CFA">
        <w:rPr>
          <w:rFonts w:eastAsia="方正仿宋简体"/>
          <w:color w:val="000000"/>
          <w:kern w:val="0"/>
          <w:sz w:val="30"/>
          <w:szCs w:val="30"/>
        </w:rPr>
        <w:t>天内入指定交割仓库方可制作仓单。</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200" w:firstLine="602"/>
        <w:rPr>
          <w:rFonts w:eastAsia="方正仿宋简体"/>
          <w:color w:val="000000"/>
          <w:kern w:val="0"/>
          <w:sz w:val="30"/>
          <w:szCs w:val="30"/>
        </w:rPr>
      </w:pPr>
      <w:r w:rsidRPr="00096CFA">
        <w:rPr>
          <w:rFonts w:ascii="方正黑体简体" w:eastAsia="方正黑体简体"/>
          <w:b/>
          <w:color w:val="000000"/>
          <w:kern w:val="0"/>
          <w:sz w:val="30"/>
          <w:szCs w:val="30"/>
        </w:rPr>
        <w:t>第七十五条</w:t>
      </w:r>
      <w:r w:rsidRPr="00096CFA">
        <w:rPr>
          <w:rFonts w:eastAsia="方正仿宋简体"/>
          <w:color w:val="000000"/>
          <w:kern w:val="0"/>
          <w:sz w:val="30"/>
          <w:szCs w:val="30"/>
        </w:rPr>
        <w:t xml:space="preserve"> </w:t>
      </w:r>
      <w:r w:rsidRPr="00096CFA">
        <w:rPr>
          <w:rFonts w:eastAsia="方正仿宋简体"/>
          <w:color w:val="000000"/>
          <w:kern w:val="0"/>
          <w:sz w:val="30"/>
          <w:szCs w:val="30"/>
        </w:rPr>
        <w:t>交割线材的包装与堆放</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200" w:firstLine="600"/>
        <w:rPr>
          <w:rFonts w:eastAsia="方正仿宋简体"/>
          <w:color w:val="000000"/>
          <w:kern w:val="0"/>
          <w:sz w:val="30"/>
          <w:szCs w:val="30"/>
        </w:rPr>
      </w:pPr>
      <w:r w:rsidRPr="00096CFA">
        <w:rPr>
          <w:rFonts w:eastAsia="方正仿宋简体"/>
          <w:color w:val="000000"/>
          <w:kern w:val="0"/>
          <w:sz w:val="30"/>
          <w:szCs w:val="30"/>
        </w:rPr>
        <w:t>线材应盘卷交货，包装、标志及质量证明书应当符合国标</w:t>
      </w:r>
      <w:r w:rsidRPr="00096CFA">
        <w:rPr>
          <w:rFonts w:eastAsia="方正仿宋简体"/>
          <w:color w:val="000000"/>
          <w:sz w:val="30"/>
          <w:szCs w:val="30"/>
        </w:rPr>
        <w:t>GB</w:t>
      </w:r>
      <w:r w:rsidRPr="00096CFA">
        <w:rPr>
          <w:rFonts w:eastAsia="方正仿宋简体"/>
          <w:b/>
          <w:sz w:val="30"/>
          <w:szCs w:val="30"/>
          <w:shd w:val="clear" w:color="auto" w:fill="BFBFBF"/>
        </w:rPr>
        <w:t xml:space="preserve">/T </w:t>
      </w:r>
      <w:r w:rsidRPr="00096CFA">
        <w:rPr>
          <w:rFonts w:eastAsia="方正仿宋简体"/>
          <w:color w:val="000000"/>
          <w:sz w:val="30"/>
          <w:szCs w:val="30"/>
        </w:rPr>
        <w:t>1499.1-</w:t>
      </w:r>
      <w:r w:rsidRPr="00096CFA">
        <w:rPr>
          <w:rFonts w:eastAsia="方正仿宋简体"/>
          <w:b/>
          <w:sz w:val="30"/>
          <w:szCs w:val="30"/>
          <w:shd w:val="clear" w:color="auto" w:fill="BFBFBF"/>
        </w:rPr>
        <w:t>2017</w:t>
      </w:r>
      <w:r w:rsidRPr="00096CFA">
        <w:rPr>
          <w:rFonts w:eastAsia="方正仿宋简体"/>
          <w:dstrike/>
          <w:color w:val="000000"/>
          <w:sz w:val="30"/>
          <w:szCs w:val="30"/>
        </w:rPr>
        <w:t>2008</w:t>
      </w:r>
      <w:r w:rsidRPr="00096CFA">
        <w:rPr>
          <w:rFonts w:eastAsia="方正仿宋简体"/>
          <w:color w:val="000000"/>
          <w:kern w:val="0"/>
          <w:sz w:val="30"/>
          <w:szCs w:val="30"/>
        </w:rPr>
        <w:t>《钢筋混凝土用钢</w:t>
      </w:r>
      <w:r w:rsidRPr="00096CFA">
        <w:rPr>
          <w:rFonts w:eastAsia="方正仿宋简体"/>
          <w:color w:val="000000"/>
          <w:kern w:val="0"/>
          <w:sz w:val="30"/>
          <w:szCs w:val="30"/>
        </w:rPr>
        <w:t xml:space="preserve"> </w:t>
      </w:r>
      <w:r w:rsidRPr="00096CFA">
        <w:rPr>
          <w:rFonts w:eastAsia="方正仿宋简体"/>
          <w:color w:val="000000"/>
          <w:kern w:val="0"/>
          <w:sz w:val="30"/>
          <w:szCs w:val="30"/>
        </w:rPr>
        <w:t>第</w:t>
      </w:r>
      <w:r w:rsidRPr="00096CFA">
        <w:rPr>
          <w:rFonts w:eastAsia="方正仿宋简体"/>
          <w:color w:val="000000"/>
          <w:kern w:val="0"/>
          <w:sz w:val="30"/>
          <w:szCs w:val="30"/>
        </w:rPr>
        <w:t>1</w:t>
      </w:r>
      <w:r w:rsidRPr="00096CFA">
        <w:rPr>
          <w:rFonts w:eastAsia="方正仿宋简体"/>
          <w:color w:val="000000"/>
          <w:kern w:val="0"/>
          <w:sz w:val="30"/>
          <w:szCs w:val="30"/>
        </w:rPr>
        <w:t>部分：热轧光圆钢筋》的规定。</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200" w:firstLine="600"/>
        <w:rPr>
          <w:rFonts w:eastAsia="方正仿宋简体"/>
          <w:color w:val="000000"/>
          <w:kern w:val="0"/>
          <w:sz w:val="30"/>
          <w:szCs w:val="30"/>
        </w:rPr>
      </w:pPr>
      <w:r w:rsidRPr="00096CFA">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w:t>
      </w:r>
      <w:r w:rsidRPr="00096CFA">
        <w:rPr>
          <w:rFonts w:eastAsia="方正仿宋简体"/>
          <w:b/>
          <w:sz w:val="30"/>
          <w:szCs w:val="30"/>
          <w:shd w:val="clear" w:color="auto" w:fill="BFBFBF"/>
        </w:rPr>
        <w:t>十</w:t>
      </w:r>
      <w:r w:rsidRPr="00096CFA">
        <w:rPr>
          <w:rFonts w:eastAsia="方正仿宋简体"/>
          <w:dstrike/>
          <w:color w:val="000000"/>
          <w:kern w:val="0"/>
          <w:sz w:val="30"/>
          <w:szCs w:val="30"/>
        </w:rPr>
        <w:t>两</w:t>
      </w:r>
      <w:r w:rsidRPr="00096CFA">
        <w:rPr>
          <w:rFonts w:eastAsia="方正仿宋简体"/>
          <w:color w:val="000000"/>
          <w:kern w:val="0"/>
          <w:sz w:val="30"/>
          <w:szCs w:val="30"/>
        </w:rPr>
        <w:t>日，且以最早日期作为该仓单的生产日期。</w:t>
      </w:r>
      <w:r w:rsidRPr="00096CFA">
        <w:rPr>
          <w:rFonts w:eastAsia="方正仿宋简体"/>
          <w:color w:val="000000"/>
          <w:kern w:val="0"/>
          <w:sz w:val="30"/>
          <w:szCs w:val="30"/>
        </w:rPr>
        <w:t xml:space="preserve"> </w:t>
      </w:r>
    </w:p>
    <w:p w:rsidR="002274D3" w:rsidRDefault="002274D3" w:rsidP="002274D3">
      <w:pPr>
        <w:autoSpaceDE w:val="0"/>
        <w:autoSpaceDN w:val="0"/>
        <w:adjustRightInd w:val="0"/>
        <w:spacing w:line="600" w:lineRule="exact"/>
        <w:ind w:firstLineChars="200" w:firstLine="600"/>
        <w:rPr>
          <w:rFonts w:eastAsia="方正仿宋简体" w:hint="eastAsia"/>
          <w:color w:val="000000"/>
          <w:kern w:val="0"/>
          <w:sz w:val="30"/>
          <w:szCs w:val="30"/>
        </w:rPr>
      </w:pPr>
      <w:r w:rsidRPr="00096CFA">
        <w:rPr>
          <w:rFonts w:eastAsia="方正仿宋简体"/>
          <w:color w:val="000000"/>
          <w:kern w:val="0"/>
          <w:sz w:val="30"/>
          <w:szCs w:val="30"/>
        </w:rPr>
        <w:t>用于交割的线材每一仓单的标的实物应当作为一个堆放垛位进</w:t>
      </w:r>
      <w:r w:rsidRPr="00096CFA">
        <w:rPr>
          <w:rFonts w:eastAsia="方正仿宋简体"/>
          <w:color w:val="000000"/>
          <w:kern w:val="0"/>
          <w:sz w:val="30"/>
          <w:szCs w:val="30"/>
        </w:rPr>
        <w:lastRenderedPageBreak/>
        <w:t>行堆放。</w:t>
      </w:r>
      <w:r w:rsidRPr="00096CFA">
        <w:rPr>
          <w:rFonts w:eastAsia="方正仿宋简体"/>
          <w:color w:val="000000"/>
          <w:kern w:val="0"/>
          <w:sz w:val="30"/>
          <w:szCs w:val="30"/>
        </w:rPr>
        <w:t xml:space="preserve"> </w:t>
      </w:r>
    </w:p>
    <w:p w:rsidR="002274D3" w:rsidRDefault="002274D3" w:rsidP="002274D3">
      <w:pPr>
        <w:autoSpaceDE w:val="0"/>
        <w:autoSpaceDN w:val="0"/>
        <w:adjustRightInd w:val="0"/>
        <w:spacing w:line="600" w:lineRule="exact"/>
        <w:ind w:firstLineChars="200" w:firstLine="600"/>
        <w:rPr>
          <w:rFonts w:eastAsia="方正仿宋简体" w:hint="eastAsia"/>
          <w:color w:val="000000"/>
          <w:kern w:val="0"/>
          <w:sz w:val="30"/>
          <w:szCs w:val="30"/>
        </w:rPr>
      </w:pPr>
    </w:p>
    <w:p w:rsidR="002274D3" w:rsidRPr="00096CFA" w:rsidRDefault="002274D3" w:rsidP="002274D3">
      <w:pPr>
        <w:autoSpaceDE w:val="0"/>
        <w:autoSpaceDN w:val="0"/>
        <w:adjustRightInd w:val="0"/>
        <w:spacing w:line="600" w:lineRule="exact"/>
        <w:ind w:firstLineChars="200" w:firstLine="600"/>
        <w:rPr>
          <w:rFonts w:eastAsia="方正仿宋简体" w:hint="eastAsia"/>
          <w:color w:val="000000"/>
          <w:kern w:val="0"/>
          <w:sz w:val="30"/>
          <w:szCs w:val="30"/>
        </w:rPr>
      </w:pPr>
    </w:p>
    <w:p w:rsidR="002274D3" w:rsidRPr="00096CFA" w:rsidRDefault="002274D3" w:rsidP="002274D3">
      <w:pPr>
        <w:autoSpaceDE w:val="0"/>
        <w:autoSpaceDN w:val="0"/>
        <w:adjustRightInd w:val="0"/>
        <w:spacing w:line="600" w:lineRule="exact"/>
        <w:ind w:leftChars="286" w:left="1201" w:hangingChars="200" w:hanging="600"/>
        <w:rPr>
          <w:rFonts w:eastAsia="方正仿宋简体"/>
          <w:color w:val="000000"/>
          <w:kern w:val="0"/>
          <w:sz w:val="30"/>
          <w:szCs w:val="30"/>
        </w:rPr>
      </w:pPr>
      <w:bookmarkStart w:id="0" w:name="OLE_LINK7"/>
      <w:r w:rsidRPr="00096CFA">
        <w:rPr>
          <w:rFonts w:eastAsia="方正仿宋简体"/>
          <w:color w:val="000000"/>
          <w:kern w:val="0"/>
          <w:sz w:val="30"/>
          <w:szCs w:val="30"/>
        </w:rPr>
        <w:t>注：</w:t>
      </w:r>
      <w:r w:rsidRPr="00096CFA">
        <w:rPr>
          <w:rFonts w:eastAsia="方正仿宋简体"/>
          <w:color w:val="000000"/>
          <w:kern w:val="0"/>
          <w:sz w:val="30"/>
          <w:szCs w:val="30"/>
        </w:rPr>
        <w:t>1</w:t>
      </w:r>
      <w:r>
        <w:rPr>
          <w:rFonts w:eastAsia="方正仿宋简体" w:hint="eastAsia"/>
          <w:color w:val="000000"/>
          <w:kern w:val="0"/>
          <w:sz w:val="30"/>
          <w:szCs w:val="30"/>
        </w:rPr>
        <w:t>．</w:t>
      </w:r>
      <w:r w:rsidRPr="00096CFA">
        <w:rPr>
          <w:rFonts w:eastAsia="方正仿宋简体"/>
          <w:color w:val="000000"/>
          <w:kern w:val="0"/>
          <w:sz w:val="30"/>
          <w:szCs w:val="30"/>
        </w:rPr>
        <w:t>双删除线部分为已删除的内容，灰色底纹且加粗部分为已作修订的内容；</w:t>
      </w:r>
      <w:r w:rsidRPr="00096CFA">
        <w:rPr>
          <w:rFonts w:eastAsia="方正仿宋简体"/>
          <w:color w:val="000000"/>
          <w:kern w:val="0"/>
          <w:sz w:val="30"/>
          <w:szCs w:val="30"/>
        </w:rPr>
        <w:t xml:space="preserve"> </w:t>
      </w:r>
    </w:p>
    <w:p w:rsidR="002274D3" w:rsidRPr="00096CFA" w:rsidRDefault="002274D3" w:rsidP="002274D3">
      <w:pPr>
        <w:autoSpaceDE w:val="0"/>
        <w:autoSpaceDN w:val="0"/>
        <w:adjustRightInd w:val="0"/>
        <w:spacing w:line="600" w:lineRule="exact"/>
        <w:ind w:firstLineChars="400" w:firstLine="1200"/>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sidRPr="00096CFA">
        <w:rPr>
          <w:rFonts w:eastAsia="方正仿宋简体"/>
          <w:color w:val="000000"/>
          <w:kern w:val="0"/>
          <w:sz w:val="30"/>
          <w:szCs w:val="30"/>
        </w:rPr>
        <w:t>实施时间条款作相应调整，其余未列入条款为未作修订。</w:t>
      </w:r>
      <w:bookmarkEnd w:id="0"/>
    </w:p>
    <w:p w:rsidR="002274D3" w:rsidRPr="00096CFA" w:rsidRDefault="002274D3" w:rsidP="002274D3">
      <w:pPr>
        <w:rPr>
          <w:rFonts w:eastAsia="方正仿宋简体"/>
          <w:bCs/>
          <w:kern w:val="0"/>
          <w:sz w:val="30"/>
          <w:szCs w:val="30"/>
        </w:rPr>
      </w:pPr>
    </w:p>
    <w:p w:rsidR="002274D3" w:rsidRPr="00F13206" w:rsidRDefault="002274D3" w:rsidP="002274D3">
      <w:pPr>
        <w:pStyle w:val="2"/>
        <w:rPr>
          <w:rFonts w:ascii="Times New Roman" w:eastAsia="方正大标宋简体" w:hAnsi="Times New Roman"/>
          <w:b w:val="0"/>
          <w:sz w:val="42"/>
          <w:szCs w:val="42"/>
        </w:rPr>
      </w:pPr>
      <w:r>
        <w:rPr>
          <w:rFonts w:eastAsia="方正仿宋简体"/>
          <w:sz w:val="28"/>
          <w:szCs w:val="28"/>
        </w:rPr>
        <w:br w:type="page"/>
      </w:r>
      <w:r w:rsidRPr="00F13206">
        <w:rPr>
          <w:rFonts w:ascii="Times New Roman" w:eastAsia="方正大标宋简体" w:hAnsi="Times New Roman"/>
          <w:b w:val="0"/>
          <w:sz w:val="42"/>
          <w:szCs w:val="42"/>
        </w:rPr>
        <w:lastRenderedPageBreak/>
        <w:t>附件</w:t>
      </w:r>
      <w:r w:rsidRPr="00F13206">
        <w:rPr>
          <w:rFonts w:ascii="Times New Roman" w:eastAsia="方正大标宋简体" w:hAnsi="Times New Roman"/>
          <w:b w:val="0"/>
          <w:sz w:val="42"/>
          <w:szCs w:val="42"/>
        </w:rPr>
        <w:t>2</w:t>
      </w:r>
    </w:p>
    <w:p w:rsidR="002274D3" w:rsidRPr="00F13206" w:rsidRDefault="002274D3" w:rsidP="002274D3">
      <w:pPr>
        <w:pStyle w:val="2"/>
        <w:jc w:val="center"/>
        <w:rPr>
          <w:rFonts w:ascii="Times New Roman" w:eastAsia="宋体" w:hAnsi="Times New Roman"/>
          <w:lang/>
        </w:rPr>
      </w:pPr>
      <w:r w:rsidRPr="00F13206">
        <w:rPr>
          <w:rFonts w:ascii="Times New Roman" w:eastAsia="宋体" w:hAnsi="Times New Roman"/>
          <w:lang/>
        </w:rPr>
        <w:t xml:space="preserve">Announcement on the Release of Amended Wire Rod Contract Specifications and </w:t>
      </w:r>
      <w:r w:rsidRPr="00F13206">
        <w:rPr>
          <w:rFonts w:ascii="Times New Roman" w:eastAsia="宋体" w:hAnsi="Times New Roman"/>
          <w:i/>
          <w:lang/>
        </w:rPr>
        <w:t>Delivery Rules of the Shanghai Futures Exchange</w:t>
      </w:r>
    </w:p>
    <w:p w:rsidR="002274D3" w:rsidRPr="00F13206" w:rsidRDefault="002274D3" w:rsidP="002274D3">
      <w:pPr>
        <w:widowControl/>
        <w:spacing w:afterLines="100" w:line="276" w:lineRule="auto"/>
        <w:rPr>
          <w:kern w:val="0"/>
          <w:sz w:val="22"/>
          <w:szCs w:val="22"/>
        </w:rPr>
      </w:pPr>
      <w:r w:rsidRPr="00F13206">
        <w:rPr>
          <w:rFonts w:hint="eastAsia"/>
          <w:kern w:val="0"/>
          <w:sz w:val="22"/>
          <w:szCs w:val="22"/>
        </w:rPr>
        <w:t xml:space="preserve">  </w:t>
      </w:r>
      <w:r w:rsidRPr="00F13206">
        <w:rPr>
          <w:kern w:val="0"/>
          <w:sz w:val="22"/>
          <w:szCs w:val="22"/>
        </w:rPr>
        <w:t xml:space="preserve">In order to improve the function of the futures market, better serve the economy and enhance the management over futures delivery, Shanghai Futures Exchange (hereinafter referred to as “SHFE”) has amended the "Shanghai Futures Exchange Wire Rod Futures Contract" and </w:t>
      </w:r>
      <w:proofErr w:type="gramStart"/>
      <w:r w:rsidRPr="00F13206">
        <w:rPr>
          <w:kern w:val="0"/>
          <w:sz w:val="22"/>
          <w:szCs w:val="22"/>
        </w:rPr>
        <w:t xml:space="preserve">" </w:t>
      </w:r>
      <w:r w:rsidRPr="00F13206">
        <w:rPr>
          <w:i/>
          <w:kern w:val="0"/>
          <w:sz w:val="22"/>
          <w:szCs w:val="22"/>
        </w:rPr>
        <w:t>Delivery</w:t>
      </w:r>
      <w:proofErr w:type="gramEnd"/>
      <w:r w:rsidRPr="00F13206">
        <w:rPr>
          <w:i/>
          <w:kern w:val="0"/>
          <w:sz w:val="22"/>
          <w:szCs w:val="22"/>
        </w:rPr>
        <w:t xml:space="preserve"> Rules of Shanghai Futures Exchange</w:t>
      </w:r>
      <w:r w:rsidRPr="00F13206">
        <w:rPr>
          <w:kern w:val="0"/>
          <w:sz w:val="22"/>
          <w:szCs w:val="22"/>
        </w:rPr>
        <w:t xml:space="preserve">", which specifically cover the quality standards of wire rod delivery products. The above-mentioned amendments have been approved by the SHFE Board of Directors and reported to the China Securities Regulatory Commission (CSRC). They are hereby promulgated and shall become effective from </w:t>
      </w:r>
      <w:r w:rsidRPr="00F13206">
        <w:rPr>
          <w:rFonts w:hint="eastAsia"/>
          <w:kern w:val="0"/>
          <w:sz w:val="22"/>
          <w:szCs w:val="22"/>
        </w:rPr>
        <w:t xml:space="preserve">August </w:t>
      </w:r>
      <w:r w:rsidRPr="00F13206">
        <w:rPr>
          <w:kern w:val="0"/>
          <w:sz w:val="22"/>
          <w:szCs w:val="22"/>
        </w:rPr>
        <w:t>31, 2018.</w:t>
      </w:r>
    </w:p>
    <w:p w:rsidR="002274D3" w:rsidRPr="00F13206" w:rsidRDefault="002274D3" w:rsidP="002274D3">
      <w:pPr>
        <w:widowControl/>
        <w:spacing w:afterLines="100" w:line="276" w:lineRule="auto"/>
        <w:jc w:val="left"/>
        <w:rPr>
          <w:kern w:val="0"/>
          <w:sz w:val="22"/>
          <w:szCs w:val="22"/>
        </w:rPr>
      </w:pPr>
      <w:r w:rsidRPr="00F13206">
        <w:rPr>
          <w:rFonts w:hint="eastAsia"/>
          <w:kern w:val="0"/>
          <w:sz w:val="22"/>
          <w:szCs w:val="22"/>
        </w:rPr>
        <w:t xml:space="preserve">  </w:t>
      </w:r>
      <w:r w:rsidRPr="00F13206">
        <w:rPr>
          <w:kern w:val="0"/>
          <w:sz w:val="22"/>
          <w:szCs w:val="22"/>
        </w:rPr>
        <w:t xml:space="preserve">To ensure the steady transition of contracts, it is stipulated that from </w:t>
      </w:r>
      <w:r w:rsidRPr="00F13206">
        <w:rPr>
          <w:rFonts w:hint="eastAsia"/>
          <w:kern w:val="0"/>
          <w:sz w:val="22"/>
          <w:szCs w:val="22"/>
        </w:rPr>
        <w:t xml:space="preserve">August </w:t>
      </w:r>
      <w:r w:rsidRPr="00F13206">
        <w:rPr>
          <w:kern w:val="0"/>
          <w:sz w:val="22"/>
          <w:szCs w:val="22"/>
        </w:rPr>
        <w:t>31, 2018 onward, standard warehouse warrants are allowed to be made for the delivery of wire rods produced according to GB/T 1499.1-2017; at the same time, wire rods produced in accordance with GB 1499.1-2008 shall not be put into storage and made into a standard warehouse warrant. The warrants already made before that date shall remain valid for futures delivery.</w:t>
      </w:r>
    </w:p>
    <w:p w:rsidR="002274D3" w:rsidRPr="00F13206" w:rsidRDefault="002274D3" w:rsidP="002274D3">
      <w:pPr>
        <w:widowControl/>
        <w:spacing w:afterLines="100" w:line="276" w:lineRule="auto"/>
        <w:jc w:val="left"/>
        <w:rPr>
          <w:kern w:val="0"/>
          <w:sz w:val="22"/>
          <w:szCs w:val="22"/>
        </w:rPr>
      </w:pPr>
      <w:r w:rsidRPr="00F13206">
        <w:rPr>
          <w:kern w:val="0"/>
          <w:sz w:val="22"/>
          <w:szCs w:val="22"/>
        </w:rPr>
        <w:t xml:space="preserve">  You may visit the official website of SHFE for the Chinese version of the </w:t>
      </w:r>
      <w:r w:rsidRPr="00F13206">
        <w:rPr>
          <w:i/>
          <w:kern w:val="0"/>
          <w:sz w:val="22"/>
          <w:szCs w:val="22"/>
        </w:rPr>
        <w:t>Rules</w:t>
      </w:r>
      <w:r w:rsidRPr="00F13206">
        <w:rPr>
          <w:kern w:val="0"/>
          <w:sz w:val="22"/>
          <w:szCs w:val="22"/>
        </w:rPr>
        <w:t xml:space="preserve"> as amended. If there is any discrepancy between the English version and the Chinese version, the Chinese version shall prevail.</w:t>
      </w:r>
    </w:p>
    <w:p w:rsidR="002274D3" w:rsidRPr="00F13206" w:rsidRDefault="002274D3" w:rsidP="002274D3">
      <w:pPr>
        <w:widowControl/>
        <w:spacing w:afterLines="100" w:line="276" w:lineRule="auto"/>
        <w:jc w:val="left"/>
        <w:rPr>
          <w:kern w:val="0"/>
          <w:sz w:val="22"/>
          <w:szCs w:val="22"/>
        </w:rPr>
      </w:pPr>
      <w:r w:rsidRPr="00F13206">
        <w:rPr>
          <w:kern w:val="0"/>
          <w:sz w:val="22"/>
          <w:szCs w:val="22"/>
        </w:rPr>
        <w:t xml:space="preserve">  Attachment: </w:t>
      </w:r>
      <w:r w:rsidRPr="00F13206">
        <w:rPr>
          <w:kern w:val="0"/>
          <w:sz w:val="22"/>
          <w:szCs w:val="22"/>
        </w:rPr>
        <w:tab/>
        <w:t>Wire Rod Contract Specifications, as amended</w:t>
      </w:r>
    </w:p>
    <w:p w:rsidR="002274D3" w:rsidRPr="00F13206" w:rsidRDefault="002274D3" w:rsidP="002274D3">
      <w:pPr>
        <w:widowControl/>
        <w:spacing w:afterLines="100" w:line="276" w:lineRule="auto"/>
        <w:ind w:left="840" w:firstLineChars="350" w:firstLine="770"/>
        <w:jc w:val="left"/>
        <w:rPr>
          <w:kern w:val="0"/>
          <w:sz w:val="22"/>
          <w:szCs w:val="22"/>
        </w:rPr>
      </w:pPr>
      <w:r w:rsidRPr="00F13206">
        <w:rPr>
          <w:i/>
          <w:kern w:val="0"/>
          <w:sz w:val="22"/>
          <w:szCs w:val="22"/>
        </w:rPr>
        <w:t>Delivery Rules of the Shanghai Futures Exchange</w:t>
      </w:r>
      <w:r w:rsidRPr="00F13206">
        <w:rPr>
          <w:kern w:val="0"/>
          <w:sz w:val="22"/>
          <w:szCs w:val="22"/>
        </w:rPr>
        <w:t>, as amended</w:t>
      </w:r>
    </w:p>
    <w:p w:rsidR="002274D3" w:rsidRPr="00F13206" w:rsidRDefault="002274D3" w:rsidP="002274D3">
      <w:pPr>
        <w:widowControl/>
        <w:spacing w:afterLines="100" w:line="276" w:lineRule="auto"/>
        <w:jc w:val="right"/>
        <w:rPr>
          <w:rFonts w:eastAsia="仿宋"/>
          <w:kern w:val="0"/>
          <w:sz w:val="22"/>
          <w:szCs w:val="22"/>
        </w:rPr>
      </w:pPr>
      <w:r w:rsidRPr="00F13206">
        <w:rPr>
          <w:rFonts w:eastAsia="仿宋"/>
          <w:kern w:val="0"/>
          <w:sz w:val="22"/>
          <w:szCs w:val="22"/>
        </w:rPr>
        <w:t>S</w:t>
      </w:r>
      <w:r w:rsidRPr="00F13206">
        <w:rPr>
          <w:rFonts w:eastAsia="仿宋" w:hint="eastAsia"/>
          <w:kern w:val="0"/>
          <w:sz w:val="22"/>
          <w:szCs w:val="22"/>
        </w:rPr>
        <w:t xml:space="preserve">hanghai </w:t>
      </w:r>
      <w:r w:rsidRPr="00F13206">
        <w:rPr>
          <w:rFonts w:eastAsia="仿宋"/>
          <w:kern w:val="0"/>
          <w:sz w:val="22"/>
          <w:szCs w:val="22"/>
        </w:rPr>
        <w:t xml:space="preserve">Futures </w:t>
      </w:r>
      <w:r w:rsidRPr="00F13206">
        <w:rPr>
          <w:rFonts w:eastAsia="仿宋" w:hint="eastAsia"/>
          <w:kern w:val="0"/>
          <w:sz w:val="22"/>
          <w:szCs w:val="22"/>
        </w:rPr>
        <w:t>Exchange</w:t>
      </w:r>
    </w:p>
    <w:p w:rsidR="002274D3" w:rsidRPr="00F13206" w:rsidRDefault="002274D3" w:rsidP="002274D3">
      <w:pPr>
        <w:widowControl/>
        <w:wordWrap w:val="0"/>
        <w:spacing w:afterLines="100" w:line="276" w:lineRule="auto"/>
        <w:jc w:val="right"/>
        <w:rPr>
          <w:rFonts w:eastAsia="仿宋" w:hint="eastAsia"/>
          <w:color w:val="244061"/>
          <w:kern w:val="0"/>
          <w:sz w:val="22"/>
          <w:szCs w:val="22"/>
        </w:rPr>
      </w:pPr>
      <w:r w:rsidRPr="00F13206">
        <w:rPr>
          <w:rFonts w:eastAsia="仿宋" w:hint="eastAsia"/>
          <w:kern w:val="0"/>
          <w:sz w:val="22"/>
          <w:szCs w:val="22"/>
        </w:rPr>
        <w:t>August</w:t>
      </w:r>
      <w:r w:rsidRPr="00F13206">
        <w:rPr>
          <w:rFonts w:eastAsia="仿宋"/>
          <w:kern w:val="0"/>
          <w:sz w:val="22"/>
          <w:szCs w:val="22"/>
        </w:rPr>
        <w:t xml:space="preserve"> 30</w:t>
      </w:r>
      <w:r w:rsidRPr="00F13206">
        <w:rPr>
          <w:rFonts w:eastAsia="仿宋" w:hint="eastAsia"/>
          <w:kern w:val="0"/>
          <w:sz w:val="22"/>
          <w:szCs w:val="22"/>
        </w:rPr>
        <w:t>，</w:t>
      </w:r>
      <w:r w:rsidRPr="00F13206">
        <w:rPr>
          <w:rFonts w:eastAsia="仿宋" w:hint="eastAsia"/>
          <w:kern w:val="0"/>
          <w:sz w:val="22"/>
          <w:szCs w:val="22"/>
        </w:rPr>
        <w:t>2018</w:t>
      </w:r>
    </w:p>
    <w:p w:rsidR="002274D3" w:rsidRPr="00F13206" w:rsidRDefault="002274D3" w:rsidP="002274D3">
      <w:pPr>
        <w:spacing w:line="276" w:lineRule="auto"/>
        <w:rPr>
          <w:b/>
          <w:sz w:val="28"/>
          <w:szCs w:val="28"/>
        </w:rPr>
      </w:pPr>
      <w:r w:rsidRPr="00F13206">
        <w:rPr>
          <w:rFonts w:eastAsia="仿宋"/>
          <w:kern w:val="0"/>
          <w:sz w:val="32"/>
          <w:szCs w:val="32"/>
        </w:rPr>
        <w:br w:type="page"/>
      </w:r>
      <w:r w:rsidRPr="00F13206">
        <w:rPr>
          <w:b/>
          <w:sz w:val="28"/>
          <w:szCs w:val="28"/>
        </w:rPr>
        <w:lastRenderedPageBreak/>
        <w:t>Wire Rod Contract Specifications (Amendment)</w:t>
      </w:r>
    </w:p>
    <w:tbl>
      <w:tblPr>
        <w:tblW w:w="8040" w:type="dxa"/>
        <w:tblInd w:w="93" w:type="dxa"/>
        <w:tblLook w:val="04A0"/>
      </w:tblPr>
      <w:tblGrid>
        <w:gridCol w:w="2425"/>
        <w:gridCol w:w="5615"/>
      </w:tblGrid>
      <w:tr w:rsidR="002274D3" w:rsidRPr="00F13206" w:rsidTr="004D2E11">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Product</w:t>
            </w:r>
          </w:p>
        </w:tc>
        <w:tc>
          <w:tcPr>
            <w:tcW w:w="5615" w:type="dxa"/>
            <w:tcBorders>
              <w:top w:val="single" w:sz="4" w:space="0" w:color="auto"/>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Wire Rod</w:t>
            </w:r>
          </w:p>
        </w:tc>
      </w:tr>
      <w:tr w:rsidR="002274D3" w:rsidRPr="00F13206" w:rsidTr="004D2E1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 xml:space="preserve">Contract Size </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10 ton/lot</w:t>
            </w:r>
          </w:p>
        </w:tc>
      </w:tr>
      <w:tr w:rsidR="002274D3" w:rsidRPr="00F13206" w:rsidTr="004D2E1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Price Quotation</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Yuan (RMB)/ton</w:t>
            </w:r>
          </w:p>
        </w:tc>
      </w:tr>
      <w:tr w:rsidR="002274D3" w:rsidRPr="00F13206" w:rsidTr="004D2E11">
        <w:trPr>
          <w:trHeight w:val="592"/>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Minimum Price Fluctuation</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1 Yuan/ton</w:t>
            </w:r>
          </w:p>
        </w:tc>
      </w:tr>
      <w:tr w:rsidR="002274D3" w:rsidRPr="00F13206" w:rsidTr="004D2E11">
        <w:trPr>
          <w:trHeight w:val="659"/>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Daily Price Limit</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Within 5% above and below the settlement price of the previous business day</w:t>
            </w:r>
          </w:p>
        </w:tc>
      </w:tr>
      <w:tr w:rsidR="002274D3" w:rsidRPr="00F13206" w:rsidTr="004D2E11">
        <w:trPr>
          <w:trHeight w:val="698"/>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Contract Serials</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Monthly contract of recent 12 months from January to December</w:t>
            </w:r>
          </w:p>
        </w:tc>
      </w:tr>
      <w:tr w:rsidR="002274D3" w:rsidRPr="00F13206" w:rsidTr="004D2E11">
        <w:trPr>
          <w:trHeight w:val="836"/>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Trading Hours</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9:</w:t>
            </w:r>
            <w:smartTag w:uri="urn:schemas-microsoft-com:office:smarttags" w:element="chmetcnv">
              <w:smartTagPr>
                <w:attr w:name="TCSC" w:val="0"/>
                <w:attr w:name="NumberType" w:val="1"/>
                <w:attr w:name="Negative" w:val="False"/>
                <w:attr w:name="HasSpace" w:val="True"/>
                <w:attr w:name="SourceValue" w:val="0"/>
                <w:attr w:name="UnitName" w:val="a"/>
              </w:smartTagPr>
              <w:r w:rsidRPr="00F13206">
                <w:rPr>
                  <w:color w:val="212121"/>
                  <w:kern w:val="0"/>
                  <w:sz w:val="22"/>
                  <w:szCs w:val="22"/>
                </w:rPr>
                <w:t>00 a</w:t>
              </w:r>
            </w:smartTag>
            <w:r w:rsidRPr="00F13206">
              <w:rPr>
                <w:color w:val="212121"/>
                <w:kern w:val="0"/>
                <w:sz w:val="22"/>
                <w:szCs w:val="22"/>
              </w:rPr>
              <w:t>.m. to 11:</w:t>
            </w:r>
            <w:smartTag w:uri="urn:schemas-microsoft-com:office:smarttags" w:element="chmetcnv">
              <w:smartTagPr>
                <w:attr w:name="TCSC" w:val="0"/>
                <w:attr w:name="NumberType" w:val="1"/>
                <w:attr w:name="Negative" w:val="False"/>
                <w:attr w:name="HasSpace" w:val="True"/>
                <w:attr w:name="SourceValue" w:val="30"/>
                <w:attr w:name="UnitName" w:val="a"/>
              </w:smartTagPr>
              <w:r w:rsidRPr="00F13206">
                <w:rPr>
                  <w:color w:val="212121"/>
                  <w:kern w:val="0"/>
                  <w:sz w:val="22"/>
                  <w:szCs w:val="22"/>
                </w:rPr>
                <w:t>30 a</w:t>
              </w:r>
            </w:smartTag>
            <w:r w:rsidRPr="00F13206">
              <w:rPr>
                <w:color w:val="212121"/>
                <w:kern w:val="0"/>
                <w:sz w:val="22"/>
                <w:szCs w:val="22"/>
              </w:rPr>
              <w:t xml:space="preserve">.m., 1:30 p.m. to 3:00 </w:t>
            </w:r>
            <w:proofErr w:type="spellStart"/>
            <w:r w:rsidRPr="00F13206">
              <w:rPr>
                <w:color w:val="212121"/>
                <w:kern w:val="0"/>
                <w:sz w:val="22"/>
                <w:szCs w:val="22"/>
              </w:rPr>
              <w:t>p.m</w:t>
            </w:r>
            <w:proofErr w:type="spellEnd"/>
            <w:r w:rsidRPr="00F13206">
              <w:rPr>
                <w:color w:val="212121"/>
                <w:kern w:val="0"/>
                <w:sz w:val="22"/>
                <w:szCs w:val="22"/>
              </w:rPr>
              <w:t xml:space="preserve">, </w:t>
            </w:r>
            <w:r w:rsidRPr="00F13206">
              <w:rPr>
                <w:color w:val="212121"/>
                <w:kern w:val="0"/>
                <w:sz w:val="22"/>
                <w:szCs w:val="22"/>
                <w:shd w:val="pct15" w:color="auto" w:fill="FFFFFF"/>
              </w:rPr>
              <w:t>and other trading hours as prescribed by SHFE</w:t>
            </w:r>
          </w:p>
        </w:tc>
      </w:tr>
      <w:tr w:rsidR="002274D3" w:rsidRPr="00F13206" w:rsidTr="004D2E11">
        <w:trPr>
          <w:trHeight w:val="96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Last Trading Day</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The 15th day of the delivery month (If it is a public holiday, the last trading day shall be the 1</w:t>
            </w:r>
            <w:r w:rsidRPr="00F13206">
              <w:rPr>
                <w:color w:val="212121"/>
                <w:kern w:val="0"/>
                <w:sz w:val="22"/>
                <w:szCs w:val="22"/>
                <w:vertAlign w:val="superscript"/>
              </w:rPr>
              <w:t>st</w:t>
            </w:r>
            <w:r w:rsidRPr="00F13206">
              <w:rPr>
                <w:color w:val="212121"/>
                <w:kern w:val="0"/>
                <w:sz w:val="22"/>
                <w:szCs w:val="22"/>
              </w:rPr>
              <w:t>business day after the holiday)</w:t>
            </w:r>
          </w:p>
        </w:tc>
      </w:tr>
      <w:tr w:rsidR="002274D3" w:rsidRPr="00F13206" w:rsidTr="004D2E11">
        <w:trPr>
          <w:trHeight w:val="6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Delivery Period</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The five consecutive business days after the last trading day</w:t>
            </w:r>
          </w:p>
        </w:tc>
      </w:tr>
      <w:tr w:rsidR="002274D3" w:rsidRPr="00F13206" w:rsidTr="004D2E11">
        <w:trPr>
          <w:trHeight w:val="1645"/>
        </w:trPr>
        <w:tc>
          <w:tcPr>
            <w:tcW w:w="2425" w:type="dxa"/>
            <w:vMerge w:val="restart"/>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Grade and Quality Specifications</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Standard Products: As specified in Steel for the reinforcement of concrete Part 1: Hot-rolled plain bars, GB</w:t>
            </w:r>
            <w:r w:rsidRPr="00F13206">
              <w:rPr>
                <w:rFonts w:eastAsia="仿宋_GB2312"/>
                <w:b/>
                <w:sz w:val="22"/>
                <w:szCs w:val="22"/>
                <w:shd w:val="clear" w:color="auto" w:fill="BFBFBF"/>
              </w:rPr>
              <w:t xml:space="preserve">/T </w:t>
            </w:r>
            <w:r w:rsidRPr="00F13206">
              <w:rPr>
                <w:color w:val="212121"/>
                <w:kern w:val="0"/>
                <w:sz w:val="22"/>
                <w:szCs w:val="22"/>
              </w:rPr>
              <w:t>1499.1-</w:t>
            </w:r>
            <w:r w:rsidRPr="00F13206">
              <w:rPr>
                <w:rFonts w:eastAsia="仿宋_GB2312"/>
                <w:b/>
                <w:sz w:val="22"/>
                <w:szCs w:val="22"/>
                <w:shd w:val="clear" w:color="auto" w:fill="BFBFBF"/>
              </w:rPr>
              <w:t>2017</w:t>
            </w:r>
            <w:r w:rsidRPr="00F13206">
              <w:rPr>
                <w:dstrike/>
                <w:color w:val="212121"/>
                <w:kern w:val="0"/>
                <w:sz w:val="22"/>
                <w:szCs w:val="22"/>
              </w:rPr>
              <w:t>2008</w:t>
            </w:r>
            <w:r w:rsidRPr="00F13206">
              <w:rPr>
                <w:color w:val="212121"/>
                <w:kern w:val="0"/>
                <w:sz w:val="22"/>
                <w:szCs w:val="22"/>
              </w:rPr>
              <w:t>, with a designation of HPB</w:t>
            </w:r>
            <w:r w:rsidRPr="00F13206">
              <w:rPr>
                <w:rFonts w:eastAsia="仿宋_GB2312"/>
                <w:b/>
                <w:color w:val="000000"/>
                <w:sz w:val="22"/>
                <w:szCs w:val="22"/>
                <w:shd w:val="clear" w:color="auto" w:fill="BFBFBF"/>
              </w:rPr>
              <w:t>300</w:t>
            </w:r>
            <w:r w:rsidRPr="00F13206">
              <w:rPr>
                <w:dstrike/>
                <w:color w:val="212121"/>
                <w:kern w:val="0"/>
                <w:sz w:val="22"/>
                <w:szCs w:val="22"/>
              </w:rPr>
              <w:t>235</w:t>
            </w:r>
            <w:r w:rsidRPr="00F13206">
              <w:rPr>
                <w:color w:val="212121"/>
                <w:kern w:val="0"/>
                <w:sz w:val="22"/>
                <w:szCs w:val="22"/>
              </w:rPr>
              <w:t xml:space="preserve"> with a diameter of </w:t>
            </w:r>
            <w:smartTag w:uri="urn:schemas-microsoft-com:office:smarttags" w:element="chmetcnv">
              <w:smartTagPr>
                <w:attr w:name="TCSC" w:val="0"/>
                <w:attr w:name="NumberType" w:val="1"/>
                <w:attr w:name="Negative" w:val="False"/>
                <w:attr w:name="HasSpace" w:val="False"/>
                <w:attr w:name="SourceValue" w:val="8"/>
                <w:attr w:name="UnitName" w:val="mm"/>
              </w:smartTagPr>
              <w:r w:rsidRPr="00F13206">
                <w:rPr>
                  <w:color w:val="212121"/>
                  <w:kern w:val="0"/>
                  <w:sz w:val="22"/>
                  <w:szCs w:val="22"/>
                </w:rPr>
                <w:t>8mm</w:t>
              </w:r>
            </w:smartTag>
            <w:r w:rsidRPr="00F13206">
              <w:rPr>
                <w:color w:val="212121"/>
                <w:kern w:val="0"/>
                <w:sz w:val="22"/>
                <w:szCs w:val="22"/>
              </w:rPr>
              <w:t>.</w:t>
            </w:r>
          </w:p>
        </w:tc>
      </w:tr>
      <w:tr w:rsidR="002274D3" w:rsidRPr="00F13206" w:rsidTr="004D2E11">
        <w:trPr>
          <w:trHeight w:val="1546"/>
        </w:trPr>
        <w:tc>
          <w:tcPr>
            <w:tcW w:w="2425" w:type="dxa"/>
            <w:vMerge/>
            <w:tcBorders>
              <w:top w:val="nil"/>
              <w:left w:val="single" w:sz="4" w:space="0" w:color="auto"/>
              <w:bottom w:val="single" w:sz="4" w:space="0" w:color="auto"/>
              <w:right w:val="single" w:sz="4" w:space="0" w:color="auto"/>
            </w:tcBorders>
            <w:vAlign w:val="center"/>
          </w:tcPr>
          <w:p w:rsidR="002274D3" w:rsidRPr="00F13206" w:rsidRDefault="002274D3" w:rsidP="004D2E11">
            <w:pPr>
              <w:widowControl/>
              <w:jc w:val="left"/>
              <w:rPr>
                <w:color w:val="212121"/>
                <w:kern w:val="0"/>
                <w:sz w:val="22"/>
                <w:szCs w:val="22"/>
              </w:rPr>
            </w:pP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Substitutes Products: As specified in Steel for reinforcement of concrete Part 1: Hot-rolled plain bars, GB</w:t>
            </w:r>
            <w:r w:rsidRPr="00F13206">
              <w:rPr>
                <w:rFonts w:eastAsia="仿宋_GB2312"/>
                <w:b/>
                <w:sz w:val="22"/>
                <w:szCs w:val="22"/>
                <w:shd w:val="clear" w:color="auto" w:fill="BFBFBF"/>
              </w:rPr>
              <w:t>/T</w:t>
            </w:r>
            <w:r w:rsidRPr="00F13206">
              <w:rPr>
                <w:color w:val="212121"/>
                <w:kern w:val="0"/>
                <w:sz w:val="22"/>
                <w:szCs w:val="22"/>
              </w:rPr>
              <w:t xml:space="preserve"> 1499.1-</w:t>
            </w:r>
            <w:r w:rsidRPr="00F13206">
              <w:rPr>
                <w:rFonts w:eastAsia="仿宋_GB2312"/>
                <w:b/>
                <w:sz w:val="22"/>
                <w:szCs w:val="22"/>
                <w:shd w:val="clear" w:color="auto" w:fill="BFBFBF"/>
              </w:rPr>
              <w:t>2017</w:t>
            </w:r>
            <w:r w:rsidRPr="00F13206">
              <w:rPr>
                <w:dstrike/>
                <w:color w:val="212121"/>
                <w:kern w:val="0"/>
                <w:sz w:val="22"/>
                <w:szCs w:val="22"/>
              </w:rPr>
              <w:t>2008</w:t>
            </w:r>
            <w:r w:rsidRPr="00F13206">
              <w:rPr>
                <w:color w:val="212121"/>
                <w:kern w:val="0"/>
                <w:sz w:val="22"/>
                <w:szCs w:val="22"/>
              </w:rPr>
              <w:t>, with a designation of HPB</w:t>
            </w:r>
            <w:r w:rsidRPr="00F13206">
              <w:rPr>
                <w:rFonts w:eastAsia="仿宋_GB2312"/>
                <w:b/>
                <w:color w:val="000000"/>
                <w:sz w:val="22"/>
                <w:szCs w:val="22"/>
                <w:shd w:val="clear" w:color="auto" w:fill="BFBFBF"/>
              </w:rPr>
              <w:t>300</w:t>
            </w:r>
            <w:r w:rsidRPr="00F13206">
              <w:rPr>
                <w:dstrike/>
                <w:color w:val="212121"/>
                <w:kern w:val="0"/>
                <w:sz w:val="22"/>
                <w:szCs w:val="22"/>
              </w:rPr>
              <w:t>235</w:t>
            </w:r>
            <w:r w:rsidRPr="00F13206">
              <w:rPr>
                <w:color w:val="212121"/>
                <w:kern w:val="0"/>
                <w:sz w:val="22"/>
                <w:szCs w:val="22"/>
              </w:rPr>
              <w:t xml:space="preserve"> with a diameter of</w:t>
            </w:r>
            <w:r w:rsidRPr="00F13206">
              <w:rPr>
                <w:rFonts w:eastAsia="仿宋_GB2312"/>
                <w:b/>
                <w:sz w:val="22"/>
                <w:szCs w:val="22"/>
                <w:shd w:val="clear" w:color="auto" w:fill="BFBFBF"/>
              </w:rPr>
              <w:t>10</w:t>
            </w:r>
            <w:r w:rsidRPr="00F13206">
              <w:rPr>
                <w:dstrike/>
                <w:color w:val="212121"/>
                <w:kern w:val="0"/>
                <w:sz w:val="22"/>
                <w:szCs w:val="22"/>
              </w:rPr>
              <w:t xml:space="preserve"> </w:t>
            </w:r>
            <w:smartTag w:uri="urn:schemas-microsoft-com:office:smarttags" w:element="chmetcnv">
              <w:smartTagPr>
                <w:attr w:name="TCSC" w:val="0"/>
                <w:attr w:name="NumberType" w:val="1"/>
                <w:attr w:name="Negative" w:val="False"/>
                <w:attr w:name="HasSpace" w:val="False"/>
                <w:attr w:name="SourceValue" w:val="6.5"/>
                <w:attr w:name="UnitName" w:val="mm"/>
              </w:smartTagPr>
              <w:r w:rsidRPr="00F13206">
                <w:rPr>
                  <w:dstrike/>
                  <w:color w:val="212121"/>
                  <w:kern w:val="0"/>
                  <w:sz w:val="22"/>
                  <w:szCs w:val="22"/>
                </w:rPr>
                <w:t>6.5</w:t>
              </w:r>
              <w:r w:rsidRPr="00F13206">
                <w:rPr>
                  <w:color w:val="212121"/>
                  <w:kern w:val="0"/>
                  <w:sz w:val="22"/>
                  <w:szCs w:val="22"/>
                </w:rPr>
                <w:t>mm</w:t>
              </w:r>
            </w:smartTag>
            <w:r w:rsidRPr="00F13206">
              <w:rPr>
                <w:color w:val="212121"/>
                <w:kern w:val="0"/>
                <w:sz w:val="22"/>
                <w:szCs w:val="22"/>
              </w:rPr>
              <w:t>.</w:t>
            </w:r>
          </w:p>
        </w:tc>
      </w:tr>
      <w:tr w:rsidR="002274D3" w:rsidRPr="00F13206" w:rsidTr="004D2E1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Delivery Venue</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SHFE Certified Delivery Warehouse</w:t>
            </w:r>
          </w:p>
        </w:tc>
      </w:tr>
      <w:tr w:rsidR="002274D3" w:rsidRPr="00F13206" w:rsidTr="004D2E11">
        <w:trPr>
          <w:trHeight w:val="6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Minimum Trade Margin</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7% of contract value</w:t>
            </w:r>
          </w:p>
        </w:tc>
      </w:tr>
      <w:tr w:rsidR="002274D3" w:rsidRPr="00F13206" w:rsidTr="004D2E11">
        <w:trPr>
          <w:trHeight w:val="6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dstrike/>
                <w:color w:val="212121"/>
                <w:kern w:val="0"/>
                <w:sz w:val="22"/>
                <w:szCs w:val="22"/>
              </w:rPr>
            </w:pPr>
            <w:r w:rsidRPr="00F13206">
              <w:rPr>
                <w:dstrike/>
                <w:color w:val="212121"/>
                <w:kern w:val="0"/>
                <w:sz w:val="22"/>
                <w:szCs w:val="22"/>
              </w:rPr>
              <w:t>Transaction Fee</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dstrike/>
                <w:color w:val="212121"/>
                <w:kern w:val="0"/>
                <w:sz w:val="22"/>
                <w:szCs w:val="22"/>
              </w:rPr>
            </w:pPr>
            <w:r w:rsidRPr="00F13206">
              <w:rPr>
                <w:dstrike/>
                <w:color w:val="212121"/>
                <w:kern w:val="0"/>
                <w:sz w:val="22"/>
                <w:szCs w:val="22"/>
              </w:rPr>
              <w:t>Equal or below 0.02% of transaction value (risk reserve included)</w:t>
            </w:r>
          </w:p>
        </w:tc>
      </w:tr>
      <w:tr w:rsidR="002274D3" w:rsidRPr="00F13206" w:rsidTr="004D2E11">
        <w:trPr>
          <w:trHeight w:val="549"/>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Minimum Warranted Delivery Size</w:t>
            </w:r>
          </w:p>
        </w:tc>
        <w:tc>
          <w:tcPr>
            <w:tcW w:w="561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300 tons</w:t>
            </w:r>
          </w:p>
        </w:tc>
      </w:tr>
      <w:tr w:rsidR="002274D3" w:rsidRPr="00F13206" w:rsidTr="004D2E1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Settlement Type</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Physical Delivery</w:t>
            </w:r>
          </w:p>
        </w:tc>
      </w:tr>
      <w:tr w:rsidR="002274D3" w:rsidRPr="00F13206" w:rsidTr="004D2E1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Contract Symbol</w:t>
            </w: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WR</w:t>
            </w:r>
          </w:p>
        </w:tc>
      </w:tr>
      <w:tr w:rsidR="002274D3" w:rsidRPr="00F13206" w:rsidTr="004D2E11">
        <w:trPr>
          <w:trHeight w:val="300"/>
        </w:trPr>
        <w:tc>
          <w:tcPr>
            <w:tcW w:w="2425" w:type="dxa"/>
            <w:tcBorders>
              <w:top w:val="nil"/>
              <w:left w:val="single" w:sz="4" w:space="0" w:color="auto"/>
              <w:bottom w:val="nil"/>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Exchange</w:t>
            </w:r>
          </w:p>
        </w:tc>
        <w:tc>
          <w:tcPr>
            <w:tcW w:w="5615" w:type="dxa"/>
            <w:tcBorders>
              <w:top w:val="nil"/>
              <w:left w:val="nil"/>
              <w:bottom w:val="nil"/>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r w:rsidRPr="00F13206">
              <w:rPr>
                <w:color w:val="212121"/>
                <w:kern w:val="0"/>
                <w:sz w:val="22"/>
                <w:szCs w:val="22"/>
              </w:rPr>
              <w:t>SHFE</w:t>
            </w:r>
          </w:p>
        </w:tc>
      </w:tr>
      <w:tr w:rsidR="002274D3" w:rsidRPr="00F13206" w:rsidTr="004D2E1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p>
        </w:tc>
        <w:tc>
          <w:tcPr>
            <w:tcW w:w="5615" w:type="dxa"/>
            <w:tcBorders>
              <w:top w:val="nil"/>
              <w:left w:val="nil"/>
              <w:bottom w:val="single" w:sz="4" w:space="0" w:color="auto"/>
              <w:right w:val="single" w:sz="4" w:space="0" w:color="auto"/>
            </w:tcBorders>
            <w:shd w:val="clear" w:color="auto" w:fill="auto"/>
            <w:vAlign w:val="center"/>
          </w:tcPr>
          <w:p w:rsidR="002274D3" w:rsidRPr="00F13206" w:rsidRDefault="002274D3" w:rsidP="004D2E11">
            <w:pPr>
              <w:widowControl/>
              <w:jc w:val="left"/>
              <w:rPr>
                <w:color w:val="212121"/>
                <w:kern w:val="0"/>
                <w:sz w:val="22"/>
                <w:szCs w:val="22"/>
              </w:rPr>
            </w:pPr>
          </w:p>
        </w:tc>
      </w:tr>
    </w:tbl>
    <w:p w:rsidR="002274D3" w:rsidRPr="00F13206" w:rsidRDefault="002274D3" w:rsidP="002274D3">
      <w:pPr>
        <w:spacing w:line="276" w:lineRule="auto"/>
        <w:jc w:val="center"/>
        <w:rPr>
          <w:b/>
          <w:sz w:val="28"/>
          <w:szCs w:val="28"/>
        </w:rPr>
      </w:pPr>
      <w:r w:rsidRPr="00F13206">
        <w:rPr>
          <w:b/>
          <w:sz w:val="28"/>
          <w:szCs w:val="28"/>
        </w:rPr>
        <w:br w:type="page"/>
      </w:r>
      <w:r w:rsidRPr="00F13206">
        <w:rPr>
          <w:b/>
          <w:sz w:val="28"/>
          <w:szCs w:val="28"/>
        </w:rPr>
        <w:lastRenderedPageBreak/>
        <w:t xml:space="preserve">Appendix to Wire-rod Futures Contract of </w:t>
      </w:r>
      <w:smartTag w:uri="urn:schemas-microsoft-com:office:smarttags" w:element="City">
        <w:smartTag w:uri="urn:schemas-microsoft-com:office:smarttags" w:element="place">
          <w:r w:rsidRPr="00F13206">
            <w:rPr>
              <w:b/>
              <w:sz w:val="28"/>
              <w:szCs w:val="28"/>
            </w:rPr>
            <w:t>Shanghai</w:t>
          </w:r>
        </w:smartTag>
      </w:smartTag>
      <w:r w:rsidRPr="00F13206">
        <w:rPr>
          <w:b/>
          <w:sz w:val="28"/>
          <w:szCs w:val="28"/>
        </w:rPr>
        <w:t xml:space="preserve"> Futures Exchange</w:t>
      </w:r>
    </w:p>
    <w:p w:rsidR="002274D3" w:rsidRPr="00F13206" w:rsidRDefault="002274D3" w:rsidP="002274D3">
      <w:pPr>
        <w:spacing w:line="276" w:lineRule="auto"/>
        <w:jc w:val="left"/>
        <w:rPr>
          <w:sz w:val="22"/>
          <w:szCs w:val="22"/>
        </w:rPr>
      </w:pPr>
      <w:r w:rsidRPr="00F13206">
        <w:rPr>
          <w:sz w:val="22"/>
          <w:szCs w:val="22"/>
        </w:rPr>
        <w:t>I. Delivery Unit</w:t>
      </w:r>
    </w:p>
    <w:p w:rsidR="002274D3" w:rsidRPr="00F13206" w:rsidRDefault="002274D3" w:rsidP="002274D3">
      <w:pPr>
        <w:spacing w:line="276" w:lineRule="auto"/>
        <w:jc w:val="left"/>
        <w:rPr>
          <w:sz w:val="22"/>
          <w:szCs w:val="22"/>
        </w:rPr>
      </w:pPr>
      <w:r w:rsidRPr="00F13206">
        <w:rPr>
          <w:sz w:val="22"/>
          <w:szCs w:val="22"/>
        </w:rPr>
        <w:t xml:space="preserve">The trading unit of Wire rod contract is </w:t>
      </w:r>
      <w:proofErr w:type="gramStart"/>
      <w:r w:rsidRPr="00F13206">
        <w:rPr>
          <w:sz w:val="22"/>
          <w:szCs w:val="22"/>
        </w:rPr>
        <w:t>10 ton/lot</w:t>
      </w:r>
      <w:proofErr w:type="gramEnd"/>
      <w:r w:rsidRPr="00F13206">
        <w:rPr>
          <w:sz w:val="22"/>
          <w:szCs w:val="22"/>
        </w:rPr>
        <w:t>, delivery unit is 300 ton/warrant, and the delivery shall be made in an integral multiple of each warrant.</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II. Quality Standards</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(1) The quality of the wire rod for physical delivery shall meet the relevant specifications of GB</w:t>
      </w:r>
      <w:r w:rsidRPr="00F13206">
        <w:rPr>
          <w:rFonts w:eastAsia="仿宋_GB2312"/>
          <w:b/>
          <w:sz w:val="22"/>
          <w:szCs w:val="22"/>
          <w:shd w:val="clear" w:color="auto" w:fill="BFBFBF"/>
        </w:rPr>
        <w:t>/T</w:t>
      </w:r>
      <w:r w:rsidRPr="00F13206">
        <w:rPr>
          <w:sz w:val="22"/>
          <w:szCs w:val="22"/>
        </w:rPr>
        <w:t xml:space="preserve"> 1499.1-</w:t>
      </w:r>
      <w:r w:rsidRPr="00F13206">
        <w:rPr>
          <w:rFonts w:eastAsia="仿宋_GB2312"/>
          <w:b/>
          <w:sz w:val="22"/>
          <w:szCs w:val="22"/>
          <w:shd w:val="clear" w:color="auto" w:fill="BFBFBF"/>
        </w:rPr>
        <w:t>2017</w:t>
      </w:r>
      <w:r w:rsidRPr="00F13206">
        <w:rPr>
          <w:rFonts w:eastAsia="仿宋_GB2312"/>
          <w:dstrike/>
          <w:color w:val="000000"/>
          <w:sz w:val="22"/>
          <w:szCs w:val="22"/>
        </w:rPr>
        <w:t>2008</w:t>
      </w:r>
      <w:r w:rsidRPr="00F13206">
        <w:rPr>
          <w:sz w:val="22"/>
          <w:szCs w:val="22"/>
        </w:rPr>
        <w:t>, “Steels for reinforced concrete, part 1: hot-rolled plain bars” for grade HPB</w:t>
      </w:r>
      <w:r w:rsidRPr="00F13206">
        <w:rPr>
          <w:rFonts w:eastAsia="仿宋_GB2312"/>
          <w:b/>
          <w:sz w:val="22"/>
          <w:szCs w:val="22"/>
          <w:shd w:val="clear" w:color="auto" w:fill="BFBFBF"/>
        </w:rPr>
        <w:t>300</w:t>
      </w:r>
      <w:r w:rsidRPr="00F13206">
        <w:rPr>
          <w:rFonts w:eastAsia="仿宋_GB2312"/>
          <w:dstrike/>
          <w:sz w:val="22"/>
          <w:szCs w:val="22"/>
        </w:rPr>
        <w:t>235</w:t>
      </w:r>
      <w:r w:rsidRPr="00F13206">
        <w:rPr>
          <w:sz w:val="22"/>
          <w:szCs w:val="22"/>
        </w:rPr>
        <w:t>.</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(2) The dimensions, shape, weight &amp; allowable deviation, packaging, logo and quality certificate of the wire rod for delivery shall meet the specifications of the national standard GB</w:t>
      </w:r>
      <w:r w:rsidRPr="00F13206">
        <w:rPr>
          <w:rFonts w:eastAsia="仿宋_GB2312"/>
          <w:b/>
          <w:sz w:val="22"/>
          <w:szCs w:val="22"/>
          <w:shd w:val="clear" w:color="auto" w:fill="BFBFBF"/>
        </w:rPr>
        <w:t>/T</w:t>
      </w:r>
      <w:r w:rsidRPr="00F13206">
        <w:rPr>
          <w:sz w:val="22"/>
          <w:szCs w:val="22"/>
        </w:rPr>
        <w:t xml:space="preserve"> 1499.1-</w:t>
      </w:r>
      <w:r w:rsidRPr="00F13206">
        <w:rPr>
          <w:rFonts w:eastAsia="仿宋_GB2312"/>
          <w:b/>
          <w:sz w:val="22"/>
          <w:szCs w:val="22"/>
          <w:shd w:val="clear" w:color="auto" w:fill="BFBFBF"/>
        </w:rPr>
        <w:t>2017</w:t>
      </w:r>
      <w:r w:rsidRPr="00F13206">
        <w:rPr>
          <w:rFonts w:eastAsia="仿宋_GB2312"/>
          <w:dstrike/>
          <w:color w:val="000000"/>
          <w:sz w:val="22"/>
          <w:szCs w:val="22"/>
        </w:rPr>
        <w:t>2008</w:t>
      </w:r>
      <w:r w:rsidRPr="00F13206">
        <w:rPr>
          <w:sz w:val="22"/>
          <w:szCs w:val="22"/>
        </w:rPr>
        <w:t>, “Steels for reinforced concrete, part 1: hot-rolled plain bars”.</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 xml:space="preserve">(3) The wire rods for each warrant must consist of wire rods produced by the same producer, of the same grade, with the same trademark and nominal diameter; in addition, the production date of the wire rods for each warrant shall not exceed </w:t>
      </w:r>
      <w:r w:rsidRPr="00F13206">
        <w:rPr>
          <w:rFonts w:eastAsia="仿宋_GB2312"/>
          <w:b/>
          <w:sz w:val="22"/>
          <w:szCs w:val="22"/>
          <w:shd w:val="clear" w:color="auto" w:fill="BFBFBF"/>
        </w:rPr>
        <w:t>ten</w:t>
      </w:r>
      <w:r w:rsidRPr="00F13206">
        <w:rPr>
          <w:sz w:val="22"/>
          <w:szCs w:val="22"/>
        </w:rPr>
        <w:t xml:space="preserve"> </w:t>
      </w:r>
      <w:r w:rsidRPr="00F13206">
        <w:rPr>
          <w:rFonts w:eastAsia="仿宋_GB2312"/>
          <w:dstrike/>
          <w:color w:val="000000"/>
          <w:sz w:val="22"/>
          <w:szCs w:val="22"/>
        </w:rPr>
        <w:t xml:space="preserve">two </w:t>
      </w:r>
      <w:r w:rsidRPr="00F13206">
        <w:rPr>
          <w:sz w:val="22"/>
          <w:szCs w:val="22"/>
        </w:rPr>
        <w:t>consecutive days, with the earliest date as the production date for the warrant.</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(4) The wire rods for each standard warrant must be of a registered brand approved by SHFE with the corresponding quality certificate.</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(5) Wire rod delivery shall be measured by means of actual weighing. The physical goods shortage or surplus for each warrant shall be ±3%, with scale difference not exceeding ±0.3%.</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(6) Warrants shall be issued after being inspected and accepted by SHFE-designated delivery warehouses in accordance with regulations.</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III. Producers and Registered Brands Recognized by SHFE</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The wire rods for physical delivery must be of a brand registered with SHFE. The specific registered brands and levels of premium &amp; discount shall be separately prescribed and announced by SHFE.</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lastRenderedPageBreak/>
        <w:t>IV. Designated Delivery Warehouses</w:t>
      </w:r>
    </w:p>
    <w:p w:rsidR="002274D3" w:rsidRPr="00F13206" w:rsidRDefault="002274D3" w:rsidP="002274D3">
      <w:pPr>
        <w:spacing w:line="276" w:lineRule="auto"/>
        <w:jc w:val="left"/>
        <w:rPr>
          <w:sz w:val="22"/>
          <w:szCs w:val="22"/>
        </w:rPr>
      </w:pPr>
    </w:p>
    <w:p w:rsidR="002274D3" w:rsidRPr="00F13206" w:rsidRDefault="002274D3" w:rsidP="002274D3">
      <w:pPr>
        <w:spacing w:line="276" w:lineRule="auto"/>
        <w:jc w:val="left"/>
        <w:rPr>
          <w:sz w:val="22"/>
          <w:szCs w:val="22"/>
        </w:rPr>
      </w:pPr>
      <w:r w:rsidRPr="00F13206">
        <w:rPr>
          <w:sz w:val="22"/>
          <w:szCs w:val="22"/>
        </w:rPr>
        <w:t>The designated delivery warehouses shall be designated and separately announced by SHFE. The level of premium &amp; discount for off-site delivery warehouses shall be stipulated and announced by SHFE.</w:t>
      </w: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jc w:val="center"/>
        <w:rPr>
          <w:b/>
          <w:sz w:val="28"/>
          <w:szCs w:val="28"/>
        </w:rPr>
      </w:pPr>
    </w:p>
    <w:p w:rsidR="002274D3" w:rsidRPr="00F13206" w:rsidRDefault="002274D3" w:rsidP="002274D3">
      <w:pPr>
        <w:spacing w:line="276" w:lineRule="auto"/>
        <w:rPr>
          <w:rFonts w:hint="eastAsia"/>
          <w:b/>
          <w:sz w:val="28"/>
          <w:szCs w:val="28"/>
        </w:rPr>
      </w:pPr>
    </w:p>
    <w:p w:rsidR="002274D3" w:rsidRPr="00F13206" w:rsidRDefault="002274D3" w:rsidP="002274D3">
      <w:pPr>
        <w:spacing w:line="276" w:lineRule="auto"/>
        <w:jc w:val="center"/>
        <w:rPr>
          <w:b/>
          <w:sz w:val="28"/>
          <w:szCs w:val="28"/>
        </w:rPr>
      </w:pPr>
      <w:r w:rsidRPr="00F13206">
        <w:rPr>
          <w:b/>
          <w:sz w:val="28"/>
          <w:szCs w:val="28"/>
        </w:rPr>
        <w:lastRenderedPageBreak/>
        <w:t xml:space="preserve">Delivery </w:t>
      </w:r>
      <w:r w:rsidRPr="00F13206">
        <w:rPr>
          <w:b/>
          <w:i/>
          <w:kern w:val="36"/>
          <w:sz w:val="32"/>
          <w:szCs w:val="32"/>
        </w:rPr>
        <w:t xml:space="preserve">Rules </w:t>
      </w:r>
      <w:r w:rsidRPr="00F13206">
        <w:rPr>
          <w:b/>
          <w:sz w:val="28"/>
          <w:szCs w:val="28"/>
        </w:rPr>
        <w:t xml:space="preserve">of the </w:t>
      </w:r>
      <w:smartTag w:uri="urn:schemas-microsoft-com:office:smarttags" w:element="place">
        <w:smartTag w:uri="urn:schemas-microsoft-com:office:smarttags" w:element="City">
          <w:r w:rsidRPr="00F13206">
            <w:rPr>
              <w:b/>
              <w:sz w:val="28"/>
              <w:szCs w:val="28"/>
            </w:rPr>
            <w:t>Shanghai</w:t>
          </w:r>
        </w:smartTag>
      </w:smartTag>
      <w:r w:rsidRPr="00F13206">
        <w:rPr>
          <w:b/>
          <w:sz w:val="28"/>
          <w:szCs w:val="28"/>
        </w:rPr>
        <w:t xml:space="preserve"> Futures Exchange</w:t>
      </w:r>
    </w:p>
    <w:p w:rsidR="002274D3" w:rsidRPr="00F13206" w:rsidRDefault="002274D3" w:rsidP="002274D3">
      <w:pPr>
        <w:spacing w:afterLines="100" w:line="276" w:lineRule="auto"/>
        <w:jc w:val="center"/>
        <w:rPr>
          <w:b/>
          <w:sz w:val="28"/>
          <w:szCs w:val="28"/>
        </w:rPr>
      </w:pPr>
      <w:r w:rsidRPr="00F13206">
        <w:rPr>
          <w:b/>
          <w:sz w:val="28"/>
          <w:szCs w:val="28"/>
        </w:rPr>
        <w:t>(Amendment)</w:t>
      </w:r>
    </w:p>
    <w:p w:rsidR="002274D3" w:rsidRPr="00F13206" w:rsidRDefault="002274D3" w:rsidP="002274D3">
      <w:pPr>
        <w:spacing w:line="276" w:lineRule="auto"/>
        <w:rPr>
          <w:color w:val="000000"/>
          <w:sz w:val="22"/>
          <w:szCs w:val="22"/>
        </w:rPr>
      </w:pPr>
      <w:r w:rsidRPr="00F13206">
        <w:rPr>
          <w:rFonts w:eastAsia="仿宋_GB2312"/>
          <w:color w:val="000000"/>
          <w:sz w:val="22"/>
          <w:szCs w:val="22"/>
        </w:rPr>
        <w:t xml:space="preserve">Article </w:t>
      </w:r>
      <w:proofErr w:type="gramStart"/>
      <w:r w:rsidRPr="00F13206">
        <w:rPr>
          <w:color w:val="000000"/>
          <w:sz w:val="22"/>
          <w:szCs w:val="22"/>
        </w:rPr>
        <w:t xml:space="preserve">74 </w:t>
      </w:r>
      <w:r w:rsidRPr="00F13206">
        <w:rPr>
          <w:rFonts w:eastAsia="仿宋_GB2312"/>
          <w:color w:val="000000"/>
          <w:sz w:val="22"/>
          <w:szCs w:val="22"/>
        </w:rPr>
        <w:t xml:space="preserve"> Quality</w:t>
      </w:r>
      <w:proofErr w:type="gramEnd"/>
      <w:r w:rsidRPr="00F13206">
        <w:rPr>
          <w:rFonts w:eastAsia="仿宋_GB2312"/>
          <w:color w:val="000000"/>
          <w:sz w:val="22"/>
          <w:szCs w:val="22"/>
        </w:rPr>
        <w:t xml:space="preserve"> specifications </w:t>
      </w:r>
    </w:p>
    <w:p w:rsidR="002274D3" w:rsidRPr="00F13206" w:rsidRDefault="002274D3" w:rsidP="002274D3">
      <w:pPr>
        <w:spacing w:line="276" w:lineRule="auto"/>
        <w:rPr>
          <w:color w:val="000000"/>
          <w:sz w:val="22"/>
          <w:szCs w:val="22"/>
        </w:rPr>
      </w:pPr>
      <w:r w:rsidRPr="00F13206">
        <w:rPr>
          <w:color w:val="000000"/>
          <w:sz w:val="22"/>
          <w:szCs w:val="22"/>
        </w:rPr>
        <w:t xml:space="preserve">     </w:t>
      </w:r>
      <w:r w:rsidRPr="00F13206">
        <w:rPr>
          <w:rFonts w:eastAsia="仿宋_GB2312"/>
          <w:color w:val="000000"/>
          <w:sz w:val="22"/>
          <w:szCs w:val="22"/>
        </w:rPr>
        <w:t xml:space="preserve">The deliverable commodity shall be the goods whose producers and trademarks are registered with the Exchange. </w:t>
      </w:r>
    </w:p>
    <w:p w:rsidR="002274D3" w:rsidRPr="00F13206" w:rsidRDefault="002274D3" w:rsidP="002274D3">
      <w:pPr>
        <w:spacing w:line="276" w:lineRule="auto"/>
        <w:rPr>
          <w:color w:val="000000"/>
          <w:sz w:val="22"/>
          <w:szCs w:val="22"/>
        </w:rPr>
      </w:pPr>
      <w:r w:rsidRPr="00F13206">
        <w:rPr>
          <w:color w:val="000000"/>
          <w:sz w:val="22"/>
          <w:szCs w:val="22"/>
        </w:rPr>
        <w:t xml:space="preserve">      </w:t>
      </w:r>
      <w:r w:rsidRPr="00F13206">
        <w:rPr>
          <w:rFonts w:eastAsia="仿宋_GB2312"/>
          <w:color w:val="000000"/>
          <w:sz w:val="22"/>
          <w:szCs w:val="22"/>
        </w:rPr>
        <w:t xml:space="preserve">Rules provided in the National Standard </w:t>
      </w:r>
      <w:r w:rsidRPr="00F13206">
        <w:rPr>
          <w:sz w:val="22"/>
          <w:szCs w:val="22"/>
        </w:rPr>
        <w:t>GB</w:t>
      </w:r>
      <w:r w:rsidRPr="00F13206">
        <w:rPr>
          <w:rFonts w:eastAsia="仿宋_GB2312"/>
          <w:b/>
          <w:sz w:val="22"/>
          <w:szCs w:val="22"/>
          <w:shd w:val="clear" w:color="auto" w:fill="BFBFBF"/>
        </w:rPr>
        <w:t>/T</w:t>
      </w:r>
      <w:r w:rsidRPr="00F13206">
        <w:rPr>
          <w:sz w:val="22"/>
          <w:szCs w:val="22"/>
        </w:rPr>
        <w:t xml:space="preserve"> 1499.1-</w:t>
      </w:r>
      <w:r w:rsidRPr="00F13206">
        <w:rPr>
          <w:rFonts w:eastAsia="仿宋_GB2312"/>
          <w:b/>
          <w:sz w:val="22"/>
          <w:szCs w:val="22"/>
          <w:shd w:val="clear" w:color="auto" w:fill="BFBFBF"/>
        </w:rPr>
        <w:t>2017</w:t>
      </w:r>
      <w:r w:rsidRPr="00F13206">
        <w:rPr>
          <w:rFonts w:eastAsia="仿宋_GB2312"/>
          <w:dstrike/>
          <w:color w:val="000000"/>
          <w:sz w:val="22"/>
          <w:szCs w:val="22"/>
        </w:rPr>
        <w:t>2008</w:t>
      </w:r>
      <w:r w:rsidRPr="00F13206">
        <w:rPr>
          <w:rFonts w:eastAsia="仿宋_GB2312"/>
          <w:color w:val="000000"/>
          <w:sz w:val="22"/>
          <w:szCs w:val="22"/>
        </w:rPr>
        <w:t xml:space="preserve">—Steel for Steel Reinforced Concrete Part I: Hot-rolled Plain and Round Steel Bar shall apply to the shape, size, weight and weight difference of the deliverable commodity. </w:t>
      </w:r>
      <w:r w:rsidRPr="00F13206">
        <w:rPr>
          <w:color w:val="000000"/>
          <w:sz w:val="22"/>
          <w:szCs w:val="22"/>
        </w:rPr>
        <w:t xml:space="preserve">   </w:t>
      </w:r>
    </w:p>
    <w:p w:rsidR="002274D3" w:rsidRPr="00F13206" w:rsidRDefault="002274D3" w:rsidP="002274D3">
      <w:pPr>
        <w:spacing w:line="276" w:lineRule="auto"/>
        <w:rPr>
          <w:color w:val="000000"/>
          <w:sz w:val="22"/>
          <w:szCs w:val="22"/>
        </w:rPr>
      </w:pPr>
      <w:r w:rsidRPr="00F13206">
        <w:rPr>
          <w:color w:val="000000"/>
          <w:sz w:val="22"/>
          <w:szCs w:val="22"/>
        </w:rPr>
        <w:t xml:space="preserve">      </w:t>
      </w:r>
      <w:r w:rsidRPr="00F13206">
        <w:rPr>
          <w:rFonts w:eastAsia="仿宋_GB2312"/>
          <w:color w:val="000000"/>
          <w:sz w:val="22"/>
          <w:szCs w:val="22"/>
        </w:rPr>
        <w:t xml:space="preserve">The expiry of each delivery set shall be 90days after the date of production. The standard warrant shall not be issued unless the commodity is delivered to a certified delivery warehouse within 30days after the date of production. </w:t>
      </w:r>
    </w:p>
    <w:p w:rsidR="002274D3" w:rsidRPr="00F13206" w:rsidRDefault="002274D3" w:rsidP="002274D3">
      <w:pPr>
        <w:spacing w:line="276" w:lineRule="auto"/>
        <w:rPr>
          <w:color w:val="000000"/>
          <w:sz w:val="22"/>
          <w:szCs w:val="22"/>
        </w:rPr>
      </w:pPr>
    </w:p>
    <w:p w:rsidR="002274D3" w:rsidRPr="00F13206" w:rsidRDefault="002274D3" w:rsidP="002274D3">
      <w:pPr>
        <w:spacing w:line="276" w:lineRule="auto"/>
        <w:rPr>
          <w:color w:val="000000"/>
          <w:sz w:val="22"/>
          <w:szCs w:val="22"/>
        </w:rPr>
      </w:pPr>
      <w:r w:rsidRPr="00F13206">
        <w:rPr>
          <w:rFonts w:eastAsia="仿宋_GB2312"/>
          <w:color w:val="000000"/>
          <w:sz w:val="22"/>
          <w:szCs w:val="22"/>
        </w:rPr>
        <w:t xml:space="preserve">Article </w:t>
      </w:r>
      <w:r w:rsidRPr="00F13206">
        <w:rPr>
          <w:color w:val="000000"/>
          <w:sz w:val="22"/>
          <w:szCs w:val="22"/>
        </w:rPr>
        <w:t>75</w:t>
      </w:r>
      <w:r w:rsidRPr="00F13206">
        <w:rPr>
          <w:rFonts w:eastAsia="仿宋_GB2312"/>
          <w:color w:val="000000"/>
          <w:sz w:val="22"/>
          <w:szCs w:val="22"/>
        </w:rPr>
        <w:t xml:space="preserve"> Packaging and stocking </w:t>
      </w:r>
    </w:p>
    <w:p w:rsidR="002274D3" w:rsidRPr="00F13206" w:rsidRDefault="002274D3" w:rsidP="002274D3">
      <w:pPr>
        <w:spacing w:line="276" w:lineRule="auto"/>
        <w:rPr>
          <w:color w:val="000000"/>
          <w:sz w:val="22"/>
          <w:szCs w:val="22"/>
        </w:rPr>
      </w:pPr>
      <w:r w:rsidRPr="00F13206">
        <w:rPr>
          <w:color w:val="000000"/>
          <w:sz w:val="22"/>
          <w:szCs w:val="22"/>
        </w:rPr>
        <w:t xml:space="preserve">        </w:t>
      </w:r>
      <w:r w:rsidRPr="00F13206">
        <w:rPr>
          <w:rFonts w:eastAsia="仿宋_GB2312"/>
          <w:color w:val="000000"/>
          <w:sz w:val="22"/>
          <w:szCs w:val="22"/>
        </w:rPr>
        <w:t xml:space="preserve">Rules provided in the </w:t>
      </w:r>
      <w:r w:rsidRPr="00F13206">
        <w:rPr>
          <w:sz w:val="22"/>
          <w:szCs w:val="22"/>
        </w:rPr>
        <w:t>GB</w:t>
      </w:r>
      <w:r w:rsidRPr="00F13206">
        <w:rPr>
          <w:rFonts w:eastAsia="仿宋_GB2312"/>
          <w:b/>
          <w:sz w:val="22"/>
          <w:szCs w:val="22"/>
          <w:shd w:val="clear" w:color="auto" w:fill="BFBFBF"/>
        </w:rPr>
        <w:t>/T</w:t>
      </w:r>
      <w:r w:rsidRPr="00F13206">
        <w:rPr>
          <w:sz w:val="22"/>
          <w:szCs w:val="22"/>
        </w:rPr>
        <w:t xml:space="preserve"> 1499.1-</w:t>
      </w:r>
      <w:r w:rsidRPr="00F13206">
        <w:rPr>
          <w:rFonts w:eastAsia="仿宋_GB2312"/>
          <w:b/>
          <w:sz w:val="22"/>
          <w:szCs w:val="22"/>
          <w:shd w:val="clear" w:color="auto" w:fill="BFBFBF"/>
        </w:rPr>
        <w:t>2017</w:t>
      </w:r>
      <w:r w:rsidRPr="00F13206">
        <w:rPr>
          <w:rFonts w:eastAsia="仿宋_GB2312"/>
          <w:dstrike/>
          <w:color w:val="000000"/>
          <w:sz w:val="22"/>
          <w:szCs w:val="22"/>
        </w:rPr>
        <w:t>2008</w:t>
      </w:r>
      <w:r w:rsidRPr="00F13206">
        <w:rPr>
          <w:rFonts w:eastAsia="仿宋_GB2312"/>
          <w:color w:val="000000"/>
          <w:sz w:val="22"/>
          <w:szCs w:val="22"/>
        </w:rPr>
        <w:t xml:space="preserve">—Steel for Steel Reinforced Concrete Part I: Hot-rolled Plain and Round Steel Bar shall apply to the coiled delivery, packaging, marking and the quality proof of the commodity. </w:t>
      </w:r>
    </w:p>
    <w:p w:rsidR="002274D3" w:rsidRPr="00F13206" w:rsidRDefault="002274D3" w:rsidP="002274D3">
      <w:pPr>
        <w:spacing w:line="276" w:lineRule="auto"/>
        <w:rPr>
          <w:color w:val="000000"/>
          <w:sz w:val="22"/>
          <w:szCs w:val="22"/>
        </w:rPr>
      </w:pPr>
      <w:r w:rsidRPr="00F13206">
        <w:rPr>
          <w:color w:val="000000"/>
          <w:sz w:val="22"/>
          <w:szCs w:val="22"/>
        </w:rPr>
        <w:t xml:space="preserve">        </w:t>
      </w:r>
      <w:r w:rsidRPr="00F13206">
        <w:rPr>
          <w:rFonts w:eastAsia="仿宋_GB2312"/>
          <w:color w:val="000000"/>
          <w:sz w:val="22"/>
          <w:szCs w:val="22"/>
        </w:rPr>
        <w:t xml:space="preserve">The underlying wire rod that each warrant represents shall be produced by the same producer and of the same trademark, grade, shape and nominal diameter. The date of production of the wire rod to be delivered against a standard warrant shall not be more than </w:t>
      </w:r>
      <w:r w:rsidRPr="00F13206">
        <w:rPr>
          <w:rFonts w:eastAsia="仿宋_GB2312"/>
          <w:b/>
          <w:sz w:val="22"/>
          <w:szCs w:val="22"/>
          <w:shd w:val="clear" w:color="auto" w:fill="BFBFBF"/>
        </w:rPr>
        <w:t>ten</w:t>
      </w:r>
      <w:proofErr w:type="gramStart"/>
      <w:r w:rsidRPr="00F13206">
        <w:rPr>
          <w:rFonts w:eastAsia="仿宋_GB2312"/>
          <w:color w:val="000000"/>
          <w:sz w:val="22"/>
          <w:szCs w:val="22"/>
        </w:rPr>
        <w:t>)</w:t>
      </w:r>
      <w:r w:rsidRPr="00F13206">
        <w:rPr>
          <w:rFonts w:eastAsia="仿宋_GB2312"/>
          <w:dstrike/>
          <w:color w:val="000000"/>
          <w:sz w:val="22"/>
          <w:szCs w:val="22"/>
        </w:rPr>
        <w:t>two</w:t>
      </w:r>
      <w:proofErr w:type="gramEnd"/>
      <w:r w:rsidRPr="00F13206">
        <w:rPr>
          <w:rFonts w:eastAsia="仿宋_GB2312"/>
          <w:dstrike/>
          <w:color w:val="000000"/>
          <w:sz w:val="22"/>
          <w:szCs w:val="22"/>
        </w:rPr>
        <w:t xml:space="preserve"> (2)</w:t>
      </w:r>
      <w:r w:rsidRPr="00F13206">
        <w:rPr>
          <w:rFonts w:eastAsia="仿宋_GB2312"/>
          <w:color w:val="000000"/>
          <w:sz w:val="22"/>
          <w:szCs w:val="22"/>
        </w:rPr>
        <w:t xml:space="preserve"> consecutive days and the earlier date shall be deemed as the date of production of the wire rod under the standard warrant. The wire rod under a standard warrant shall be stocked as one minimum delivery size.</w:t>
      </w:r>
    </w:p>
    <w:p w:rsidR="002274D3" w:rsidRPr="00F13206" w:rsidRDefault="002274D3" w:rsidP="002274D3">
      <w:pPr>
        <w:spacing w:line="276" w:lineRule="auto"/>
        <w:rPr>
          <w:color w:val="000000"/>
          <w:sz w:val="22"/>
          <w:szCs w:val="22"/>
        </w:rPr>
      </w:pPr>
    </w:p>
    <w:p w:rsidR="002274D3" w:rsidRPr="00F13206" w:rsidRDefault="002274D3" w:rsidP="002274D3">
      <w:pPr>
        <w:rPr>
          <w:rFonts w:eastAsia="方正仿宋简体" w:hint="eastAsia"/>
          <w:sz w:val="28"/>
          <w:szCs w:val="28"/>
        </w:rPr>
      </w:pPr>
    </w:p>
    <w:p w:rsidR="0056165E" w:rsidRPr="002274D3" w:rsidRDefault="0056165E"/>
    <w:sectPr w:rsidR="0056165E" w:rsidRPr="002274D3" w:rsidSect="00F8568C">
      <w:footerReference w:type="even" r:id="rId4"/>
      <w:footerReference w:type="default" r:id="rId5"/>
      <w:pgSz w:w="11906" w:h="16838"/>
      <w:pgMar w:top="2098" w:right="1418" w:bottom="1701" w:left="1701"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5" w:rsidRDefault="002274D3" w:rsidP="004D010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47E85" w:rsidRDefault="002274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101" w:rsidRPr="004D0101" w:rsidRDefault="002274D3" w:rsidP="00C62E2E">
    <w:pPr>
      <w:pStyle w:val="a4"/>
      <w:framePr w:wrap="around" w:vAnchor="text" w:hAnchor="margin" w:xAlign="center" w:y="1"/>
      <w:rPr>
        <w:rStyle w:val="a3"/>
        <w:rFonts w:ascii="宋体" w:hAnsi="宋体"/>
        <w:sz w:val="24"/>
        <w:szCs w:val="24"/>
      </w:rPr>
    </w:pPr>
    <w:r w:rsidRPr="004D0101">
      <w:rPr>
        <w:rStyle w:val="a3"/>
        <w:rFonts w:ascii="宋体" w:hAnsi="宋体"/>
        <w:sz w:val="24"/>
        <w:szCs w:val="24"/>
      </w:rPr>
      <w:fldChar w:fldCharType="begin"/>
    </w:r>
    <w:r w:rsidRPr="004D0101">
      <w:rPr>
        <w:rStyle w:val="a3"/>
        <w:rFonts w:ascii="宋体" w:hAnsi="宋体"/>
        <w:sz w:val="24"/>
        <w:szCs w:val="24"/>
      </w:rPr>
      <w:instrText xml:space="preserve">PAGE  </w:instrText>
    </w:r>
    <w:r w:rsidRPr="004D0101">
      <w:rPr>
        <w:rStyle w:val="a3"/>
        <w:rFonts w:ascii="宋体" w:hAnsi="宋体"/>
        <w:sz w:val="24"/>
        <w:szCs w:val="24"/>
      </w:rPr>
      <w:fldChar w:fldCharType="separate"/>
    </w:r>
    <w:r>
      <w:rPr>
        <w:rStyle w:val="a3"/>
        <w:rFonts w:ascii="宋体" w:hAnsi="宋体"/>
        <w:noProof/>
        <w:sz w:val="24"/>
        <w:szCs w:val="24"/>
      </w:rPr>
      <w:t>- 1 -</w:t>
    </w:r>
    <w:r w:rsidRPr="004D0101">
      <w:rPr>
        <w:rStyle w:val="a3"/>
        <w:rFonts w:ascii="宋体" w:hAnsi="宋体"/>
        <w:sz w:val="24"/>
        <w:szCs w:val="24"/>
      </w:rPr>
      <w:fldChar w:fldCharType="end"/>
    </w:r>
  </w:p>
  <w:p w:rsidR="00A27EF7" w:rsidRDefault="002274D3" w:rsidP="00A27EF7">
    <w:pPr>
      <w:pStyle w:val="a4"/>
      <w:jc w:val="center"/>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4D3"/>
    <w:rsid w:val="002274D3"/>
    <w:rsid w:val="00561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D3"/>
    <w:pPr>
      <w:widowControl w:val="0"/>
      <w:jc w:val="both"/>
    </w:pPr>
    <w:rPr>
      <w:rFonts w:ascii="Times New Roman" w:eastAsia="宋体" w:hAnsi="Times New Roman" w:cs="Times New Roman"/>
      <w:szCs w:val="2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
    <w:next w:val="a"/>
    <w:link w:val="2Char"/>
    <w:qFormat/>
    <w:rsid w:val="002274D3"/>
    <w:pPr>
      <w:keepNext/>
      <w:keepLines/>
      <w:tabs>
        <w:tab w:val="num" w:pos="576"/>
      </w:tabs>
      <w:spacing w:before="260" w:after="260" w:line="416" w:lineRule="auto"/>
      <w:ind w:left="576" w:hanging="576"/>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0"/>
    <w:link w:val="2"/>
    <w:rsid w:val="002274D3"/>
    <w:rPr>
      <w:rFonts w:ascii="Arial" w:eastAsia="黑体" w:hAnsi="Arial" w:cs="Times New Roman"/>
      <w:b/>
      <w:bCs/>
      <w:sz w:val="32"/>
      <w:szCs w:val="32"/>
    </w:rPr>
  </w:style>
  <w:style w:type="character" w:styleId="a3">
    <w:name w:val="page number"/>
    <w:basedOn w:val="a0"/>
    <w:rsid w:val="002274D3"/>
  </w:style>
  <w:style w:type="paragraph" w:styleId="a4">
    <w:name w:val="footer"/>
    <w:basedOn w:val="a"/>
    <w:link w:val="Char"/>
    <w:rsid w:val="002274D3"/>
    <w:pPr>
      <w:tabs>
        <w:tab w:val="center" w:pos="4153"/>
        <w:tab w:val="right" w:pos="8306"/>
      </w:tabs>
      <w:snapToGrid w:val="0"/>
      <w:jc w:val="left"/>
    </w:pPr>
    <w:rPr>
      <w:sz w:val="18"/>
      <w:szCs w:val="18"/>
    </w:rPr>
  </w:style>
  <w:style w:type="character" w:customStyle="1" w:styleId="Char">
    <w:name w:val="页脚 Char"/>
    <w:basedOn w:val="a0"/>
    <w:link w:val="a4"/>
    <w:rsid w:val="002274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1029</Words>
  <Characters>5866</Characters>
  <Application>Microsoft Office Word</Application>
  <DocSecurity>0</DocSecurity>
  <Lines>48</Lines>
  <Paragraphs>13</Paragraphs>
  <ScaleCrop>false</ScaleCrop>
  <Company>SHFE</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ding.yue</dc:creator>
  <cp:lastModifiedBy>ding.yue</cp:lastModifiedBy>
  <cp:revision>1</cp:revision>
  <dcterms:created xsi:type="dcterms:W3CDTF">2018-08-30T10:35:00Z</dcterms:created>
  <dcterms:modified xsi:type="dcterms:W3CDTF">2018-08-30T10:35:00Z</dcterms:modified>
</cp:coreProperties>
</file>