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CB" w:rsidRPr="00096CFA" w:rsidRDefault="00505CCB" w:rsidP="00505CCB">
      <w:pPr>
        <w:rPr>
          <w:rFonts w:eastAsia="方正大标宋简体"/>
          <w:bCs/>
          <w:kern w:val="0"/>
          <w:sz w:val="42"/>
          <w:szCs w:val="42"/>
        </w:rPr>
      </w:pPr>
      <w:r w:rsidRPr="00096CFA">
        <w:rPr>
          <w:rFonts w:eastAsia="方正大标宋简体"/>
          <w:bCs/>
          <w:kern w:val="0"/>
          <w:sz w:val="42"/>
          <w:szCs w:val="42"/>
        </w:rPr>
        <w:t>附件</w:t>
      </w:r>
      <w:r w:rsidRPr="00096CFA">
        <w:rPr>
          <w:rFonts w:eastAsia="方正大标宋简体"/>
          <w:bCs/>
          <w:kern w:val="0"/>
          <w:sz w:val="42"/>
          <w:szCs w:val="42"/>
        </w:rPr>
        <w:t>1</w:t>
      </w:r>
    </w:p>
    <w:p w:rsidR="00505CCB" w:rsidRPr="00096CFA" w:rsidRDefault="00505CCB" w:rsidP="00505CCB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096CFA">
        <w:rPr>
          <w:rFonts w:ascii="方正大标宋简体" w:eastAsia="方正大标宋简体" w:hAnsi="宋体" w:hint="eastAsia"/>
          <w:sz w:val="42"/>
          <w:szCs w:val="42"/>
        </w:rPr>
        <w:t>上海期货交易所线材期货合约</w:t>
      </w:r>
    </w:p>
    <w:p w:rsidR="00505CCB" w:rsidRPr="00096CFA" w:rsidRDefault="00505CCB" w:rsidP="00505CCB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096CFA">
        <w:rPr>
          <w:rFonts w:ascii="方正大标宋简体" w:eastAsia="方正大标宋简体" w:hAnsi="宋体" w:hint="eastAsia"/>
          <w:sz w:val="42"/>
          <w:szCs w:val="42"/>
        </w:rPr>
        <w:t>（修订案）</w:t>
      </w: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8"/>
        <w:gridCol w:w="5663"/>
      </w:tblGrid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交易品种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线材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 xml:space="preserve"> 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交易单位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10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吨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/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手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 xml:space="preserve"> 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报价单位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元（人民币）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/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吨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最小变动价位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元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/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吨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每日价格最大波动限制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不超过上一交易日结算价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±5%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合约交割月份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1-12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月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交易时间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上午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9:00-11:30</w:t>
            </w:r>
            <w:r w:rsidRPr="00096CFA">
              <w:rPr>
                <w:rFonts w:ascii="Times New Roman" w:eastAsia="方正仿宋简体" w:hAnsi="Times New Roman" w:cs="Times New Roman"/>
                <w:b/>
                <w:color w:val="000000"/>
                <w:shd w:val="clear" w:color="auto" w:fill="BFBFBF"/>
              </w:rPr>
              <w:t>,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下午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1:30-3:00</w:t>
            </w:r>
            <w:r w:rsidRPr="00096CFA">
              <w:rPr>
                <w:rFonts w:ascii="Times New Roman" w:eastAsia="方正仿宋简体" w:hAnsi="Times New Roman" w:cs="Times New Roman"/>
                <w:b/>
                <w:color w:val="000000"/>
                <w:shd w:val="clear" w:color="auto" w:fill="BFBFBF"/>
              </w:rPr>
              <w:t>和交易所规定的其他交易时间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最后交易日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合约交割月份的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15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日（遇法定假日顺延）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交割日期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最后交易日后连续五个工作日</w:t>
            </w:r>
          </w:p>
        </w:tc>
      </w:tr>
      <w:tr w:rsidR="00505CCB" w:rsidRPr="00096CFA" w:rsidTr="004D2E11">
        <w:trPr>
          <w:trHeight w:val="3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CB" w:rsidRPr="00096CFA" w:rsidRDefault="00505CCB" w:rsidP="004D2E11">
            <w:pPr>
              <w:pStyle w:val="a3"/>
              <w:spacing w:line="400" w:lineRule="exact"/>
              <w:jc w:val="both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交割品级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wordWrap w:val="0"/>
              <w:spacing w:before="0" w:beforeAutospacing="0" w:after="0" w:afterAutospacing="0" w:line="400" w:lineRule="exact"/>
              <w:rPr>
                <w:rFonts w:ascii="Times New Roman" w:eastAsia="方正仿宋简体" w:hAnsi="Times New Roman" w:cs="Times New Roman"/>
                <w:b/>
                <w:kern w:val="2"/>
                <w:shd w:val="clear" w:color="auto" w:fill="BFBFBF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标准品：符合国标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GB</w:t>
            </w:r>
            <w:r w:rsidRPr="00096CFA">
              <w:rPr>
                <w:rFonts w:ascii="Times New Roman" w:eastAsia="方正仿宋简体" w:hAnsi="Times New Roman" w:cs="Times New Roman"/>
                <w:b/>
                <w:kern w:val="2"/>
                <w:shd w:val="clear" w:color="auto" w:fill="BFBFBF"/>
              </w:rPr>
              <w:t xml:space="preserve">/T 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1499.1-</w:t>
            </w:r>
            <w:r w:rsidRPr="00096CFA">
              <w:rPr>
                <w:rFonts w:ascii="Times New Roman" w:eastAsia="方正仿宋简体" w:hAnsi="Times New Roman" w:cs="Times New Roman"/>
                <w:b/>
                <w:kern w:val="2"/>
                <w:shd w:val="clear" w:color="auto" w:fill="BFBFBF"/>
              </w:rPr>
              <w:t>2017</w:t>
            </w:r>
          </w:p>
          <w:p w:rsidR="00505CCB" w:rsidRPr="00096CFA" w:rsidRDefault="00505CCB" w:rsidP="004D2E11">
            <w:pPr>
              <w:pStyle w:val="a3"/>
              <w:wordWrap w:val="0"/>
              <w:spacing w:before="0" w:beforeAutospacing="0" w:after="0" w:afterAutospacing="0"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dstrike/>
                <w:color w:val="000000"/>
              </w:rPr>
              <w:t>2008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《钢筋混凝土用钢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 xml:space="preserve"> 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第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部分：热轧光圆钢筋》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HPB</w:t>
            </w:r>
            <w:r w:rsidRPr="00096CFA">
              <w:rPr>
                <w:rFonts w:ascii="Times New Roman" w:eastAsia="方正仿宋简体" w:hAnsi="Times New Roman" w:cs="Times New Roman"/>
                <w:b/>
                <w:color w:val="000000"/>
                <w:shd w:val="clear" w:color="auto" w:fill="BFBFBF"/>
              </w:rPr>
              <w:t>300</w:t>
            </w:r>
            <w:r w:rsidRPr="00096CFA">
              <w:rPr>
                <w:rFonts w:ascii="Times New Roman" w:eastAsia="方正仿宋简体" w:hAnsi="Times New Roman" w:cs="Times New Roman"/>
                <w:dstrike/>
                <w:color w:val="000000"/>
              </w:rPr>
              <w:t>235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牌号的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6CFA">
                <w:rPr>
                  <w:rFonts w:ascii="Times New Roman" w:eastAsia="方正仿宋简体" w:hAnsi="Times New Roman" w:cs="Times New Roman"/>
                  <w:color w:val="000000"/>
                </w:rPr>
                <w:t>8mm</w:t>
              </w:r>
            </w:smartTag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 xml:space="preserve"> 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线材。</w:t>
            </w:r>
          </w:p>
          <w:p w:rsidR="00505CCB" w:rsidRPr="00096CFA" w:rsidRDefault="00505CCB" w:rsidP="004D2E11">
            <w:pPr>
              <w:pStyle w:val="a3"/>
              <w:wordWrap w:val="0"/>
              <w:spacing w:before="0" w:beforeAutospacing="0" w:after="0" w:afterAutospacing="0" w:line="400" w:lineRule="exact"/>
              <w:rPr>
                <w:rFonts w:ascii="Times New Roman" w:eastAsia="方正仿宋简体" w:hAnsi="Times New Roman" w:cs="Times New Roman"/>
                <w:b/>
                <w:kern w:val="2"/>
                <w:shd w:val="clear" w:color="auto" w:fill="BFBFBF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替代品：符合国标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GB</w:t>
            </w:r>
            <w:r w:rsidRPr="00096CFA">
              <w:rPr>
                <w:rFonts w:ascii="Times New Roman" w:eastAsia="方正仿宋简体" w:hAnsi="Times New Roman" w:cs="Times New Roman"/>
                <w:b/>
                <w:kern w:val="2"/>
                <w:shd w:val="clear" w:color="auto" w:fill="BFBFBF"/>
              </w:rPr>
              <w:t xml:space="preserve">/T 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1499.1-</w:t>
            </w:r>
            <w:r w:rsidRPr="00096CFA">
              <w:rPr>
                <w:rFonts w:ascii="Times New Roman" w:eastAsia="方正仿宋简体" w:hAnsi="Times New Roman" w:cs="Times New Roman"/>
                <w:b/>
                <w:kern w:val="2"/>
                <w:shd w:val="clear" w:color="auto" w:fill="BFBFBF"/>
              </w:rPr>
              <w:t>2017</w:t>
            </w:r>
          </w:p>
          <w:p w:rsidR="00505CCB" w:rsidRPr="00096CFA" w:rsidRDefault="00505CCB" w:rsidP="004D2E11">
            <w:pPr>
              <w:pStyle w:val="a3"/>
              <w:wordWrap w:val="0"/>
              <w:spacing w:before="0" w:beforeAutospacing="0" w:after="0" w:afterAutospacing="0"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dstrike/>
                <w:color w:val="000000"/>
              </w:rPr>
              <w:t>2008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《钢筋混凝土用钢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 xml:space="preserve"> 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第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1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部分：热轧光圆钢筋》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HPB</w:t>
            </w:r>
            <w:r w:rsidRPr="00096CFA">
              <w:rPr>
                <w:rFonts w:ascii="Times New Roman" w:eastAsia="方正仿宋简体" w:hAnsi="Times New Roman" w:cs="Times New Roman"/>
                <w:b/>
                <w:color w:val="000000"/>
                <w:shd w:val="clear" w:color="auto" w:fill="BFBFBF"/>
              </w:rPr>
              <w:t>300</w:t>
            </w:r>
            <w:r w:rsidRPr="00096CFA">
              <w:rPr>
                <w:rFonts w:ascii="Times New Roman" w:eastAsia="方正仿宋简体" w:hAnsi="Times New Roman" w:cs="Times New Roman"/>
                <w:dstrike/>
                <w:color w:val="000000"/>
              </w:rPr>
              <w:t>235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牌号的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106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6CFA">
                <w:rPr>
                  <w:rFonts w:ascii="Times New Roman" w:eastAsia="方正仿宋简体" w:hAnsi="Times New Roman" w:cs="Times New Roman"/>
                  <w:b/>
                  <w:color w:val="000000"/>
                  <w:shd w:val="clear" w:color="auto" w:fill="BFBFBF"/>
                </w:rPr>
                <w:t>10</w:t>
              </w:r>
              <w:r w:rsidRPr="00096CFA">
                <w:rPr>
                  <w:rFonts w:ascii="Times New Roman" w:eastAsia="方正仿宋简体" w:hAnsi="Times New Roman" w:cs="Times New Roman"/>
                  <w:dstrike/>
                  <w:color w:val="000000"/>
                </w:rPr>
                <w:t>6.5</w:t>
              </w:r>
              <w:r w:rsidRPr="00096CFA">
                <w:rPr>
                  <w:rFonts w:ascii="Times New Roman" w:eastAsia="方正仿宋简体" w:hAnsi="Times New Roman" w:cs="Times New Roman"/>
                  <w:color w:val="000000"/>
                </w:rPr>
                <w:t>mm</w:t>
              </w:r>
            </w:smartTag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线材。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 xml:space="preserve"> </w:t>
            </w:r>
          </w:p>
        </w:tc>
      </w:tr>
      <w:tr w:rsidR="00505CCB" w:rsidRPr="00096CFA" w:rsidTr="004D2E11">
        <w:trPr>
          <w:trHeight w:val="549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交割地点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交易所指定交割仓库</w:t>
            </w:r>
          </w:p>
        </w:tc>
      </w:tr>
      <w:tr w:rsidR="00505CCB" w:rsidRPr="00096CFA" w:rsidTr="004D2E11">
        <w:trPr>
          <w:trHeight w:val="495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最低交易保证金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合约价值的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7%</w:t>
            </w:r>
          </w:p>
        </w:tc>
      </w:tr>
      <w:tr w:rsidR="00505CCB" w:rsidRPr="00096CFA" w:rsidTr="004D2E11">
        <w:trPr>
          <w:trHeight w:val="559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dstrike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dstrike/>
                <w:color w:val="000000"/>
              </w:rPr>
              <w:t>交易手续费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dstrike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dstrike/>
                <w:color w:val="000000"/>
              </w:rPr>
              <w:t>不高于成交金额的万分之二（</w:t>
            </w:r>
            <w:proofErr w:type="gramStart"/>
            <w:r w:rsidRPr="00096CFA">
              <w:rPr>
                <w:rFonts w:ascii="Times New Roman" w:eastAsia="方正仿宋简体" w:hAnsi="Times New Roman" w:cs="Times New Roman"/>
                <w:dstrike/>
                <w:color w:val="000000"/>
              </w:rPr>
              <w:t>含风险</w:t>
            </w:r>
            <w:proofErr w:type="gramEnd"/>
            <w:r w:rsidRPr="00096CFA">
              <w:rPr>
                <w:rFonts w:ascii="Times New Roman" w:eastAsia="方正仿宋简体" w:hAnsi="Times New Roman" w:cs="Times New Roman"/>
                <w:dstrike/>
                <w:color w:val="000000"/>
              </w:rPr>
              <w:t>准备金）</w:t>
            </w:r>
          </w:p>
        </w:tc>
      </w:tr>
      <w:tr w:rsidR="00505CCB" w:rsidRPr="00096CFA" w:rsidTr="004D2E11">
        <w:trPr>
          <w:trHeight w:val="52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最小交割单位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300</w:t>
            </w: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吨</w:t>
            </w:r>
          </w:p>
        </w:tc>
      </w:tr>
      <w:tr w:rsidR="00505CCB" w:rsidRPr="00096CFA" w:rsidTr="004D2E11">
        <w:trPr>
          <w:trHeight w:val="44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交割方式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实物交割</w:t>
            </w:r>
          </w:p>
        </w:tc>
      </w:tr>
      <w:tr w:rsidR="00505CCB" w:rsidRPr="00096CFA" w:rsidTr="004D2E11">
        <w:trPr>
          <w:trHeight w:val="424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交易代码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WR</w:t>
            </w:r>
          </w:p>
        </w:tc>
      </w:tr>
      <w:tr w:rsidR="00505CCB" w:rsidRPr="00096CFA" w:rsidTr="004D2E11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上市交易所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CB" w:rsidRPr="00096CFA" w:rsidRDefault="00505CCB" w:rsidP="004D2E11">
            <w:pPr>
              <w:pStyle w:val="a3"/>
              <w:spacing w:line="400" w:lineRule="exact"/>
              <w:rPr>
                <w:rFonts w:ascii="Times New Roman" w:eastAsia="方正仿宋简体" w:hAnsi="Times New Roman" w:cs="Times New Roman"/>
                <w:color w:val="000000"/>
              </w:rPr>
            </w:pPr>
            <w:r w:rsidRPr="00096CFA">
              <w:rPr>
                <w:rFonts w:ascii="Times New Roman" w:eastAsia="方正仿宋简体" w:hAnsi="Times New Roman" w:cs="Times New Roman"/>
                <w:color w:val="000000"/>
              </w:rPr>
              <w:t>上海期货交易所</w:t>
            </w:r>
          </w:p>
        </w:tc>
      </w:tr>
    </w:tbl>
    <w:p w:rsidR="00505CCB" w:rsidRDefault="00505CCB" w:rsidP="00505CCB">
      <w:pPr>
        <w:jc w:val="center"/>
        <w:rPr>
          <w:rFonts w:ascii="宋体" w:hAnsi="宋体"/>
          <w:b/>
          <w:sz w:val="44"/>
          <w:szCs w:val="44"/>
        </w:rPr>
      </w:pPr>
    </w:p>
    <w:p w:rsidR="00505CCB" w:rsidRDefault="00505CCB" w:rsidP="00505CCB">
      <w:pPr>
        <w:jc w:val="center"/>
        <w:rPr>
          <w:rFonts w:ascii="方正大标宋简体" w:eastAsia="方正大标宋简体" w:hAnsi="宋体" w:hint="eastAsia"/>
          <w:sz w:val="42"/>
          <w:szCs w:val="42"/>
        </w:rPr>
      </w:pPr>
    </w:p>
    <w:p w:rsidR="00D60835" w:rsidRDefault="00D60835" w:rsidP="00505CCB">
      <w:pPr>
        <w:jc w:val="center"/>
        <w:rPr>
          <w:rFonts w:ascii="方正大标宋简体" w:eastAsia="方正大标宋简体" w:hAnsi="宋体"/>
          <w:sz w:val="42"/>
          <w:szCs w:val="42"/>
        </w:rPr>
      </w:pPr>
    </w:p>
    <w:p w:rsidR="00505CCB" w:rsidRDefault="00505CCB" w:rsidP="00505CCB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096CFA">
        <w:rPr>
          <w:rFonts w:ascii="方正大标宋简体" w:eastAsia="方正大标宋简体" w:hAnsi="宋体" w:hint="eastAsia"/>
          <w:sz w:val="42"/>
          <w:szCs w:val="42"/>
        </w:rPr>
        <w:lastRenderedPageBreak/>
        <w:t>上海期货交易所线材期货合约附件</w:t>
      </w:r>
    </w:p>
    <w:p w:rsidR="00505CCB" w:rsidRPr="00096CFA" w:rsidRDefault="00505CCB" w:rsidP="00505CCB">
      <w:pPr>
        <w:jc w:val="center"/>
        <w:rPr>
          <w:rFonts w:ascii="方正大标宋简体" w:eastAsia="方正大标宋简体" w:hAnsi="宋体"/>
          <w:sz w:val="42"/>
          <w:szCs w:val="42"/>
        </w:rPr>
      </w:pPr>
    </w:p>
    <w:p w:rsidR="00505CCB" w:rsidRPr="00096CFA" w:rsidRDefault="00505CCB" w:rsidP="00505CCB">
      <w:pPr>
        <w:spacing w:line="560" w:lineRule="exact"/>
        <w:ind w:firstLineChars="200" w:firstLine="640"/>
        <w:rPr>
          <w:rFonts w:ascii="方正黑体简体" w:eastAsia="方正黑体简体" w:hAnsi="黑体"/>
          <w:sz w:val="32"/>
          <w:szCs w:val="32"/>
        </w:rPr>
      </w:pPr>
      <w:r w:rsidRPr="00096CFA">
        <w:rPr>
          <w:rFonts w:ascii="方正黑体简体" w:eastAsia="方正黑体简体" w:hAnsi="黑体" w:hint="eastAsia"/>
          <w:sz w:val="32"/>
          <w:szCs w:val="32"/>
        </w:rPr>
        <w:t xml:space="preserve">一、交割单位 </w:t>
      </w:r>
    </w:p>
    <w:p w:rsidR="00505CCB" w:rsidRPr="00592636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线材期货合约的交易单位为每手10吨，交割单位为每一仓单300吨，交割应当以每一仓单的整数</w:t>
      </w:r>
      <w:proofErr w:type="gramStart"/>
      <w:r w:rsidRPr="00592636">
        <w:rPr>
          <w:rFonts w:ascii="仿宋_GB2312" w:eastAsia="仿宋_GB2312" w:hAnsi="仿宋" w:hint="eastAsia"/>
          <w:sz w:val="32"/>
          <w:szCs w:val="32"/>
        </w:rPr>
        <w:t>倍</w:t>
      </w:r>
      <w:proofErr w:type="gramEnd"/>
      <w:r w:rsidRPr="00592636">
        <w:rPr>
          <w:rFonts w:ascii="仿宋_GB2312" w:eastAsia="仿宋_GB2312" w:hAnsi="仿宋" w:hint="eastAsia"/>
          <w:sz w:val="32"/>
          <w:szCs w:val="32"/>
        </w:rPr>
        <w:t>交割。</w:t>
      </w:r>
    </w:p>
    <w:p w:rsidR="00505CCB" w:rsidRPr="00096CFA" w:rsidRDefault="00505CCB" w:rsidP="00505CCB">
      <w:pPr>
        <w:spacing w:line="560" w:lineRule="exact"/>
        <w:ind w:firstLineChars="200" w:firstLine="640"/>
        <w:rPr>
          <w:rFonts w:ascii="方正黑体简体" w:eastAsia="方正黑体简体" w:hAnsi="黑体"/>
          <w:sz w:val="32"/>
          <w:szCs w:val="32"/>
        </w:rPr>
      </w:pPr>
      <w:r w:rsidRPr="00096CFA">
        <w:rPr>
          <w:rFonts w:ascii="方正黑体简体" w:eastAsia="方正黑体简体" w:hAnsi="黑体" w:hint="eastAsia"/>
          <w:sz w:val="32"/>
          <w:szCs w:val="32"/>
        </w:rPr>
        <w:t>二、质量规定</w:t>
      </w:r>
    </w:p>
    <w:p w:rsidR="00505CCB" w:rsidRPr="00592636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（1）用于实物交割的线材，质量应当符合</w:t>
      </w:r>
      <w:r w:rsidRPr="00592636">
        <w:rPr>
          <w:rFonts w:ascii="仿宋_GB2312" w:eastAsia="仿宋_GB2312" w:hAnsi="仿宋" w:hint="eastAsia"/>
          <w:color w:val="000000"/>
          <w:sz w:val="32"/>
          <w:szCs w:val="32"/>
        </w:rPr>
        <w:t>GB</w:t>
      </w:r>
      <w:r w:rsidRPr="00592636">
        <w:rPr>
          <w:rFonts w:ascii="仿宋_GB2312" w:eastAsia="仿宋_GB2312" w:hAnsi="仿宋" w:hint="eastAsia"/>
          <w:b/>
          <w:sz w:val="32"/>
          <w:szCs w:val="32"/>
          <w:shd w:val="clear" w:color="auto" w:fill="BFBFBF"/>
        </w:rPr>
        <w:t xml:space="preserve">/T </w:t>
      </w:r>
      <w:r w:rsidRPr="00592636">
        <w:rPr>
          <w:rFonts w:ascii="仿宋_GB2312" w:eastAsia="仿宋_GB2312" w:hAnsi="仿宋" w:hint="eastAsia"/>
          <w:color w:val="000000"/>
          <w:sz w:val="32"/>
          <w:szCs w:val="32"/>
        </w:rPr>
        <w:t>1499.1-</w:t>
      </w:r>
      <w:r w:rsidRPr="00592636">
        <w:rPr>
          <w:rFonts w:ascii="仿宋_GB2312" w:eastAsia="仿宋_GB2312" w:hAnsi="仿宋" w:hint="eastAsia"/>
          <w:b/>
          <w:sz w:val="32"/>
          <w:szCs w:val="32"/>
          <w:shd w:val="clear" w:color="auto" w:fill="BFBFBF"/>
        </w:rPr>
        <w:t>2017</w:t>
      </w:r>
      <w:r w:rsidRPr="00592636">
        <w:rPr>
          <w:rFonts w:ascii="仿宋_GB2312" w:eastAsia="仿宋_GB2312" w:hAnsi="仿宋" w:hint="eastAsia"/>
          <w:dstrike/>
          <w:color w:val="000000"/>
          <w:sz w:val="32"/>
          <w:szCs w:val="32"/>
        </w:rPr>
        <w:t>2008</w:t>
      </w:r>
      <w:r w:rsidRPr="00592636">
        <w:rPr>
          <w:rFonts w:ascii="仿宋_GB2312" w:eastAsia="仿宋_GB2312" w:hAnsi="仿宋" w:hint="eastAsia"/>
          <w:sz w:val="32"/>
          <w:szCs w:val="32"/>
        </w:rPr>
        <w:t>《钢筋混凝土用钢 第1部分：热轧光圆钢筋》牌号为HPB</w:t>
      </w:r>
      <w:r w:rsidRPr="00592636">
        <w:rPr>
          <w:rFonts w:ascii="仿宋_GB2312" w:eastAsia="仿宋_GB2312" w:hAnsi="仿宋" w:hint="eastAsia"/>
          <w:b/>
          <w:sz w:val="32"/>
          <w:szCs w:val="32"/>
          <w:shd w:val="clear" w:color="auto" w:fill="BFBFBF"/>
        </w:rPr>
        <w:t>300</w:t>
      </w:r>
      <w:r w:rsidRPr="00592636">
        <w:rPr>
          <w:rFonts w:ascii="仿宋_GB2312" w:eastAsia="仿宋_GB2312" w:hAnsi="仿宋" w:hint="eastAsia"/>
          <w:dstrike/>
          <w:sz w:val="32"/>
          <w:szCs w:val="32"/>
        </w:rPr>
        <w:t>235</w:t>
      </w:r>
      <w:r w:rsidRPr="00592636">
        <w:rPr>
          <w:rFonts w:ascii="仿宋_GB2312" w:eastAsia="仿宋_GB2312" w:hAnsi="仿宋" w:hint="eastAsia"/>
          <w:sz w:val="32"/>
          <w:szCs w:val="32"/>
        </w:rPr>
        <w:t>的有关规定。</w:t>
      </w:r>
    </w:p>
    <w:p w:rsidR="00505CCB" w:rsidRPr="00592636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（2）交割线材的尺寸、外形、重量及允许偏差、包装、标志和质量证明书应当符合国标</w:t>
      </w:r>
      <w:r w:rsidRPr="00592636">
        <w:rPr>
          <w:rFonts w:ascii="仿宋_GB2312" w:eastAsia="仿宋_GB2312" w:hAnsi="仿宋" w:hint="eastAsia"/>
          <w:color w:val="000000"/>
          <w:sz w:val="32"/>
          <w:szCs w:val="32"/>
        </w:rPr>
        <w:t>GB</w:t>
      </w:r>
      <w:r w:rsidRPr="00592636">
        <w:rPr>
          <w:rFonts w:ascii="仿宋_GB2312" w:eastAsia="仿宋_GB2312" w:hAnsi="仿宋" w:hint="eastAsia"/>
          <w:b/>
          <w:sz w:val="32"/>
          <w:szCs w:val="32"/>
          <w:shd w:val="clear" w:color="auto" w:fill="BFBFBF"/>
        </w:rPr>
        <w:t xml:space="preserve">/T </w:t>
      </w:r>
      <w:r w:rsidRPr="00592636">
        <w:rPr>
          <w:rFonts w:ascii="仿宋_GB2312" w:eastAsia="仿宋_GB2312" w:hAnsi="仿宋" w:hint="eastAsia"/>
          <w:color w:val="000000"/>
          <w:sz w:val="32"/>
          <w:szCs w:val="32"/>
        </w:rPr>
        <w:t>1499.1-</w:t>
      </w:r>
      <w:r w:rsidRPr="00592636">
        <w:rPr>
          <w:rFonts w:ascii="仿宋_GB2312" w:eastAsia="仿宋_GB2312" w:hAnsi="仿宋" w:hint="eastAsia"/>
          <w:b/>
          <w:sz w:val="32"/>
          <w:szCs w:val="32"/>
          <w:shd w:val="clear" w:color="auto" w:fill="BFBFBF"/>
        </w:rPr>
        <w:t>2017</w:t>
      </w:r>
      <w:r w:rsidRPr="00592636">
        <w:rPr>
          <w:rFonts w:ascii="仿宋_GB2312" w:eastAsia="仿宋_GB2312" w:hAnsi="仿宋" w:hint="eastAsia"/>
          <w:dstrike/>
          <w:color w:val="000000"/>
          <w:sz w:val="32"/>
          <w:szCs w:val="32"/>
        </w:rPr>
        <w:t>2008</w:t>
      </w:r>
      <w:r w:rsidRPr="00592636">
        <w:rPr>
          <w:rFonts w:ascii="仿宋_GB2312" w:eastAsia="仿宋_GB2312" w:hAnsi="仿宋" w:hint="eastAsia"/>
          <w:sz w:val="32"/>
          <w:szCs w:val="32"/>
        </w:rPr>
        <w:t>《钢筋混凝土用钢 第1部分：热轧光圆钢筋》的规定。</w:t>
      </w:r>
    </w:p>
    <w:p w:rsidR="00505CCB" w:rsidRPr="00592636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（3）每一标准仓单的线材，应当是同一生产企业生产、同一牌号、同一注册商标、同一公称直径的商品组成，并且组成每一仓单的线材的生产日期应当不超过连续</w:t>
      </w:r>
      <w:r w:rsidRPr="00592636">
        <w:rPr>
          <w:rFonts w:ascii="仿宋_GB2312" w:eastAsia="仿宋_GB2312" w:hAnsi="仿宋" w:hint="eastAsia"/>
          <w:b/>
          <w:sz w:val="32"/>
          <w:szCs w:val="32"/>
          <w:shd w:val="clear" w:color="auto" w:fill="BFBFBF"/>
        </w:rPr>
        <w:t>十</w:t>
      </w:r>
      <w:r w:rsidRPr="00592636">
        <w:rPr>
          <w:rFonts w:ascii="仿宋_GB2312" w:eastAsia="仿宋_GB2312" w:hAnsi="仿宋" w:hint="eastAsia"/>
          <w:dstrike/>
          <w:sz w:val="32"/>
          <w:szCs w:val="32"/>
        </w:rPr>
        <w:t>两</w:t>
      </w:r>
      <w:r w:rsidRPr="00592636">
        <w:rPr>
          <w:rFonts w:ascii="仿宋_GB2312" w:eastAsia="仿宋_GB2312" w:hAnsi="仿宋" w:hint="eastAsia"/>
          <w:sz w:val="32"/>
          <w:szCs w:val="32"/>
        </w:rPr>
        <w:t>日，且以最早日期作为该仓单的生产日期。</w:t>
      </w:r>
    </w:p>
    <w:p w:rsidR="00505CCB" w:rsidRPr="00592636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（4）每一标准仓单的线材，应当是交易所批准的注册品牌，应附有相应的质量证明书。</w:t>
      </w:r>
    </w:p>
    <w:p w:rsidR="00505CCB" w:rsidRPr="00592636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（5）线材交割以实际称重方式计量。每一仓单的实物溢短不超过±3%，磅差不超过±0.3% 。</w:t>
      </w:r>
    </w:p>
    <w:p w:rsidR="00505CCB" w:rsidRPr="00592636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（6）仓单应由本所指定交割仓库按规定验收合格后出具。</w:t>
      </w:r>
    </w:p>
    <w:p w:rsidR="00505CCB" w:rsidRPr="00096CFA" w:rsidRDefault="00505CCB" w:rsidP="00505CCB">
      <w:pPr>
        <w:spacing w:line="560" w:lineRule="exact"/>
        <w:ind w:firstLineChars="200" w:firstLine="640"/>
        <w:rPr>
          <w:rFonts w:ascii="方正黑体简体" w:eastAsia="方正黑体简体" w:hAnsi="黑体"/>
          <w:sz w:val="32"/>
          <w:szCs w:val="32"/>
        </w:rPr>
      </w:pPr>
      <w:r w:rsidRPr="00096CFA">
        <w:rPr>
          <w:rFonts w:ascii="方正黑体简体" w:eastAsia="方正黑体简体" w:hAnsi="黑体" w:hint="eastAsia"/>
          <w:sz w:val="32"/>
          <w:szCs w:val="32"/>
        </w:rPr>
        <w:t xml:space="preserve">三、交易所认可的生产企业和注册品牌 </w:t>
      </w:r>
    </w:p>
    <w:p w:rsidR="00505CCB" w:rsidRPr="00592636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用于实物交割的线材，应当是交易所注册的品牌。具体</w:t>
      </w:r>
      <w:r w:rsidRPr="00592636">
        <w:rPr>
          <w:rFonts w:ascii="仿宋_GB2312" w:eastAsia="仿宋_GB2312" w:hAnsi="仿宋" w:hint="eastAsia"/>
          <w:sz w:val="32"/>
          <w:szCs w:val="32"/>
        </w:rPr>
        <w:lastRenderedPageBreak/>
        <w:t>的注册品牌和升贴水标准，由交易所另行规定并公告。</w:t>
      </w:r>
    </w:p>
    <w:p w:rsidR="00505CCB" w:rsidRPr="00096CFA" w:rsidRDefault="00505CCB" w:rsidP="00505CCB">
      <w:pPr>
        <w:spacing w:line="560" w:lineRule="exact"/>
        <w:ind w:firstLineChars="200" w:firstLine="640"/>
        <w:rPr>
          <w:rFonts w:ascii="方正黑体简体" w:eastAsia="方正黑体简体" w:hAnsi="黑体"/>
          <w:sz w:val="32"/>
          <w:szCs w:val="32"/>
        </w:rPr>
      </w:pPr>
      <w:r w:rsidRPr="00096CFA">
        <w:rPr>
          <w:rFonts w:ascii="方正黑体简体" w:eastAsia="方正黑体简体" w:hAnsi="黑体" w:hint="eastAsia"/>
          <w:sz w:val="32"/>
          <w:szCs w:val="32"/>
        </w:rPr>
        <w:t xml:space="preserve">四、指定交割仓库 </w:t>
      </w:r>
    </w:p>
    <w:p w:rsidR="00505CCB" w:rsidRDefault="00505CCB" w:rsidP="00505C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2636">
        <w:rPr>
          <w:rFonts w:ascii="仿宋_GB2312" w:eastAsia="仿宋_GB2312" w:hAnsi="仿宋" w:hint="eastAsia"/>
          <w:sz w:val="32"/>
          <w:szCs w:val="32"/>
        </w:rPr>
        <w:t>由交易所指定并另行公告，异地交割仓库升贴水标准由交易所规定并公告。</w:t>
      </w:r>
    </w:p>
    <w:p w:rsidR="0056165E" w:rsidRPr="00505CCB" w:rsidRDefault="0056165E"/>
    <w:sectPr w:rsidR="0056165E" w:rsidRPr="00505CCB" w:rsidSect="0056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A1" w:rsidRDefault="000F55A1" w:rsidP="00D60835">
      <w:r>
        <w:separator/>
      </w:r>
    </w:p>
  </w:endnote>
  <w:endnote w:type="continuationSeparator" w:id="0">
    <w:p w:rsidR="000F55A1" w:rsidRDefault="000F55A1" w:rsidP="00D6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A1" w:rsidRDefault="000F55A1" w:rsidP="00D60835">
      <w:r>
        <w:separator/>
      </w:r>
    </w:p>
  </w:footnote>
  <w:footnote w:type="continuationSeparator" w:id="0">
    <w:p w:rsidR="000F55A1" w:rsidRDefault="000F55A1" w:rsidP="00D60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CCB"/>
    <w:rsid w:val="000F55A1"/>
    <w:rsid w:val="00505CCB"/>
    <w:rsid w:val="0056165E"/>
    <w:rsid w:val="007971AB"/>
    <w:rsid w:val="00D6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C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D6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8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8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882</Characters>
  <Application>Microsoft Office Word</Application>
  <DocSecurity>0</DocSecurity>
  <Lines>7</Lines>
  <Paragraphs>2</Paragraphs>
  <ScaleCrop>false</ScaleCrop>
  <Company>SHFE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ding.yue</dc:creator>
  <cp:lastModifiedBy>ding.yue</cp:lastModifiedBy>
  <cp:revision>2</cp:revision>
  <dcterms:created xsi:type="dcterms:W3CDTF">2018-08-30T10:30:00Z</dcterms:created>
  <dcterms:modified xsi:type="dcterms:W3CDTF">2018-08-30T10:36:00Z</dcterms:modified>
</cp:coreProperties>
</file>