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塑料板块节后拉涨，短期强势但有隐忧</w:t>
      </w:r>
    </w:p>
    <w:p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广州期货</w:t>
      </w:r>
    </w:p>
    <w:p>
      <w:pPr>
        <w:spacing w:line="276" w:lineRule="auto"/>
        <w:ind w:firstLine="315" w:firstLineChars="150"/>
      </w:pPr>
      <w:r>
        <w:rPr>
          <w:rFonts w:hint="eastAsia"/>
        </w:rPr>
        <w:t>国庆长假期间，多重利好消息刺激国际市场对欧佩克限产的期望越来越高，国际油价上涨至4个月来最高价位，连续三周大幅收涨，带动节后能化板块集体飙涨。10月12日，连塑L1701收9330元/吨，</w:t>
      </w:r>
      <w:r>
        <w:rPr>
          <w:rFonts w:hint="eastAsia"/>
          <w:lang w:eastAsia="zh-CN"/>
        </w:rPr>
        <w:t>节后</w:t>
      </w:r>
      <w:bookmarkStart w:id="0" w:name="_GoBack"/>
      <w:bookmarkEnd w:id="0"/>
      <w:r>
        <w:rPr>
          <w:rFonts w:hint="eastAsia"/>
        </w:rPr>
        <w:t>3日上涨6.02%，成交137万手，持仓增27520到50.1万手；PP1701收于7674元/吨，节后3日上涨4.99%，成交99.7万手，持仓增79368到70.0万手。</w:t>
      </w:r>
    </w:p>
    <w:p>
      <w:pPr>
        <w:spacing w:line="276" w:lineRule="auto"/>
      </w:pPr>
    </w:p>
    <w:p>
      <w:pPr>
        <w:spacing w:line="276" w:lineRule="auto"/>
        <w:ind w:firstLine="420" w:firstLineChars="200"/>
      </w:pPr>
      <w:r>
        <w:rPr>
          <w:rFonts w:hint="eastAsia"/>
        </w:rPr>
        <w:t>国庆长假之前石化维持快速去库存操作，总体效果理想。节前库存维持55万吨左右水平，节后库存累积至77万吨，为历年的低位水平，低于市场预期。节后第一天在库存低位的利好支撑下，市场稳中有涨，单日库存下降6.5万吨，三天时间库存回落至60万吨水平线，进入偏紧状态，石化轮番调涨加大对货源成本支撑，商家积极跟涨，投机出货。现货市场价格持续上行，LLDPE&amp;PP华东市场价格较节前上涨了300元-400元/吨。</w:t>
      </w:r>
    </w:p>
    <w:p>
      <w:pPr>
        <w:spacing w:line="276" w:lineRule="auto"/>
      </w:pPr>
    </w:p>
    <w:p>
      <w:pPr>
        <w:spacing w:line="276" w:lineRule="auto"/>
        <w:ind w:firstLine="420" w:firstLineChars="200"/>
      </w:pPr>
      <w:r>
        <w:rPr>
          <w:rFonts w:hint="eastAsia"/>
        </w:rPr>
        <w:t>10月份国内前期检修的聚乙烯装置已基本开车，截至10月12日，仅有兰州石化6万吨老全密度装置继续停车，聚乙烯装置开工率已回到95%；聚丙烯装置开工率达88%。四季度装置检修量较少的同时，还有新产能的投放带来压力，中天合创LLDPE装置（30万吨/年）预计在下周投产，神华新疆PP装置（45万吨/年）已开车顺利并于10月9日产出合格品，中天合创MTO装置（</w:t>
      </w:r>
      <w:r>
        <w:rPr>
          <w:rFonts w:hint="eastAsia"/>
          <w:color w:val="000000"/>
          <w:szCs w:val="21"/>
        </w:rPr>
        <w:t>35万吨/年</w:t>
      </w:r>
      <w:r>
        <w:rPr>
          <w:rFonts w:hint="eastAsia"/>
        </w:rPr>
        <w:t>）计划十一假期后开车，PP环管法装置（</w:t>
      </w:r>
      <w:r>
        <w:rPr>
          <w:rFonts w:hint="eastAsia"/>
          <w:color w:val="000000"/>
          <w:szCs w:val="21"/>
        </w:rPr>
        <w:t>35万吨/年</w:t>
      </w:r>
      <w:r>
        <w:rPr>
          <w:rFonts w:hint="eastAsia"/>
        </w:rPr>
        <w:t>）也预计于本月开车，11月份开始，国内聚烯烃供应压力加大，投产显著增多的PP压力将大于LLDPE。</w:t>
      </w:r>
    </w:p>
    <w:p>
      <w:pPr>
        <w:spacing w:line="276" w:lineRule="auto"/>
      </w:pP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rFonts w:hint="eastAsia"/>
        </w:rPr>
        <w:t>下游方面，LLDPE下游</w:t>
      </w:r>
      <w:r>
        <w:rPr>
          <w:rFonts w:hint="eastAsia"/>
          <w:color w:val="000000"/>
          <w:szCs w:val="21"/>
        </w:rPr>
        <w:t>农膜市场进入消费旺季，刚需坚挺带来一定支撑。但其他制品方面目前商家备货仍然不温不火，PP下游BOPP企业生产利润维持低位，9月份企业开工率为58%，已连续4个月下滑。节后此轮上涨行情进一步挤压吞噬下游制品企业盈利空间，目前工厂存在一定节后补库的需求，但对高价货源抵触，终端需求并未迎来明显的旺季提振，对市场形成制约。近日受OPEC冻产协议提振油价及石化低库存的支撑，短期石化维持挺价与下游抵触高价将相互博弈。随着装置启动，投产运行，11月供应量的增加将对市场带来一定冲击，尤其PP供应压力倍增，应警惕10月后市场行情降温的风险。</w:t>
      </w:r>
    </w:p>
    <w:p>
      <w:pPr>
        <w:spacing w:line="276" w:lineRule="auto"/>
        <w:rPr>
          <w:color w:val="000000"/>
          <w:szCs w:val="21"/>
        </w:rPr>
      </w:pPr>
    </w:p>
    <w:p>
      <w:pPr>
        <w:spacing w:line="276" w:lineRule="auto"/>
        <w:rPr>
          <w:color w:val="000000"/>
          <w:szCs w:val="21"/>
        </w:rPr>
      </w:pPr>
    </w:p>
    <w:p>
      <w:pPr>
        <w:spacing w:line="276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陈桂东</w:t>
      </w:r>
    </w:p>
    <w:p>
      <w:pPr>
        <w:spacing w:line="276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执业证书编号：F0276421</w:t>
      </w:r>
    </w:p>
    <w:p>
      <w:pPr>
        <w:spacing w:line="276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2016-10-12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6D"/>
    <w:rsid w:val="000A70F3"/>
    <w:rsid w:val="000B0B2D"/>
    <w:rsid w:val="000C136D"/>
    <w:rsid w:val="00102F47"/>
    <w:rsid w:val="00133BF6"/>
    <w:rsid w:val="00177D13"/>
    <w:rsid w:val="002D23FD"/>
    <w:rsid w:val="002D5957"/>
    <w:rsid w:val="002E2BCA"/>
    <w:rsid w:val="00300C13"/>
    <w:rsid w:val="003139EF"/>
    <w:rsid w:val="00355BAF"/>
    <w:rsid w:val="003870A0"/>
    <w:rsid w:val="003D3C78"/>
    <w:rsid w:val="004B14C4"/>
    <w:rsid w:val="005B6D38"/>
    <w:rsid w:val="005C71C1"/>
    <w:rsid w:val="00625736"/>
    <w:rsid w:val="00886C86"/>
    <w:rsid w:val="00890910"/>
    <w:rsid w:val="008A60F2"/>
    <w:rsid w:val="008C410C"/>
    <w:rsid w:val="008D3DD0"/>
    <w:rsid w:val="00934F8D"/>
    <w:rsid w:val="00971A8B"/>
    <w:rsid w:val="00972739"/>
    <w:rsid w:val="00980890"/>
    <w:rsid w:val="009865AB"/>
    <w:rsid w:val="00A86989"/>
    <w:rsid w:val="00CF3607"/>
    <w:rsid w:val="00DB3B3E"/>
    <w:rsid w:val="00DB7A7D"/>
    <w:rsid w:val="00E10418"/>
    <w:rsid w:val="00E66AF8"/>
    <w:rsid w:val="00E73048"/>
    <w:rsid w:val="00FC15F9"/>
    <w:rsid w:val="105A7E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2016-10-12T07:18:00Z</dcterms:created>
  <dc:creator>Administrator</dc:creator>
  <cp:lastModifiedBy>Administrator</cp:lastModifiedBy>
  <dcterms:modified xsi:type="dcterms:W3CDTF">2016-10-12T09:33:03Z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