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bookmarkStart w:id="0" w:name="_GoBack"/>
      <w:bookmarkEnd w:id="0"/>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0E4FEC">
        <w:rPr>
          <w:rFonts w:ascii="黑体" w:eastAsia="黑体" w:hAnsi="黑体" w:hint="eastAsia"/>
          <w:bCs/>
          <w:color w:val="F79646" w:themeColor="accent6"/>
          <w:spacing w:val="-15"/>
          <w:kern w:val="44"/>
          <w:sz w:val="28"/>
          <w:szCs w:val="28"/>
        </w:rPr>
        <w:t xml:space="preserve">现指市场萎缩 </w:t>
      </w:r>
      <w:r w:rsidR="00C95C2A">
        <w:rPr>
          <w:rFonts w:ascii="黑体" w:eastAsia="黑体" w:hAnsi="黑体" w:hint="eastAsia"/>
          <w:bCs/>
          <w:color w:val="F79646" w:themeColor="accent6"/>
          <w:spacing w:val="-15"/>
          <w:kern w:val="44"/>
          <w:sz w:val="28"/>
          <w:szCs w:val="28"/>
        </w:rPr>
        <w:t>期指交投</w:t>
      </w:r>
      <w:r w:rsidR="000E4FEC">
        <w:rPr>
          <w:rFonts w:ascii="黑体" w:eastAsia="黑体" w:hAnsi="黑体" w:hint="eastAsia"/>
          <w:bCs/>
          <w:color w:val="F79646" w:themeColor="accent6"/>
          <w:spacing w:val="-15"/>
          <w:kern w:val="44"/>
          <w:sz w:val="28"/>
          <w:szCs w:val="28"/>
        </w:rPr>
        <w:t>活跃</w:t>
      </w:r>
      <w:r w:rsidR="00E24AEC" w:rsidRPr="001B4F56">
        <w:rPr>
          <w:noProof/>
          <w:color w:val="F79646" w:themeColor="accent6"/>
        </w:rPr>
        <w:t xml:space="preserve"> </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徐超然</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330952">
        <w:rPr>
          <w:rFonts w:ascii="黑体" w:eastAsia="黑体" w:hAnsi="微软雅黑" w:hint="eastAsia"/>
          <w:szCs w:val="21"/>
        </w:rPr>
        <w:t>7</w:t>
      </w:r>
      <w:r w:rsidRPr="00280FED">
        <w:rPr>
          <w:rFonts w:ascii="黑体" w:eastAsia="黑体" w:hAnsi="微软雅黑" w:hint="eastAsia"/>
          <w:szCs w:val="21"/>
        </w:rPr>
        <w:t>月</w:t>
      </w:r>
      <w:r w:rsidR="00330952">
        <w:rPr>
          <w:rFonts w:ascii="黑体" w:eastAsia="黑体" w:hAnsi="微软雅黑" w:hint="eastAsia"/>
          <w:szCs w:val="21"/>
        </w:rPr>
        <w:t>1</w:t>
      </w:r>
      <w:r w:rsidR="00B30A5C" w:rsidRPr="00280FED">
        <w:rPr>
          <w:rFonts w:ascii="黑体" w:eastAsia="黑体" w:hAnsi="微软雅黑" w:hint="eastAsia"/>
          <w:szCs w:val="21"/>
        </w:rPr>
        <w:t>日</w:t>
      </w:r>
    </w:p>
    <w:p w:rsidR="00C4646F" w:rsidRPr="00C8009E" w:rsidRDefault="00330952" w:rsidP="00657FCA">
      <w:pPr>
        <w:spacing w:beforeLines="50" w:before="156" w:afterLines="50" w:after="156"/>
        <w:ind w:firstLineChars="200" w:firstLine="420"/>
        <w:rPr>
          <w:rStyle w:val="ac"/>
          <w:b w:val="0"/>
          <w:szCs w:val="21"/>
        </w:rPr>
      </w:pPr>
      <w:r>
        <w:rPr>
          <w:rStyle w:val="ac"/>
          <w:rFonts w:hint="eastAsia"/>
          <w:b w:val="0"/>
          <w:szCs w:val="21"/>
        </w:rPr>
        <w:t>今日高开后沪指延续窄幅震荡走势，沪指稳定在</w:t>
      </w:r>
      <w:r>
        <w:rPr>
          <w:rStyle w:val="ac"/>
          <w:rFonts w:hint="eastAsia"/>
          <w:b w:val="0"/>
          <w:szCs w:val="21"/>
        </w:rPr>
        <w:t>2920</w:t>
      </w:r>
      <w:r>
        <w:rPr>
          <w:rStyle w:val="ac"/>
          <w:rFonts w:hint="eastAsia"/>
          <w:b w:val="0"/>
          <w:szCs w:val="21"/>
        </w:rPr>
        <w:t>上方，最终沪指收涨</w:t>
      </w:r>
      <w:r>
        <w:rPr>
          <w:rStyle w:val="ac"/>
          <w:rFonts w:hint="eastAsia"/>
          <w:b w:val="0"/>
          <w:szCs w:val="21"/>
        </w:rPr>
        <w:t>0.1%</w:t>
      </w:r>
      <w:r>
        <w:rPr>
          <w:rStyle w:val="ac"/>
          <w:rFonts w:hint="eastAsia"/>
          <w:b w:val="0"/>
          <w:szCs w:val="21"/>
        </w:rPr>
        <w:t>，深指收跌</w:t>
      </w:r>
      <w:r>
        <w:rPr>
          <w:rStyle w:val="ac"/>
          <w:rFonts w:hint="eastAsia"/>
          <w:b w:val="0"/>
          <w:szCs w:val="21"/>
        </w:rPr>
        <w:t>0.3%</w:t>
      </w:r>
      <w:r w:rsidR="008E484A">
        <w:rPr>
          <w:rStyle w:val="ac"/>
          <w:rFonts w:hint="eastAsia"/>
          <w:b w:val="0"/>
          <w:szCs w:val="21"/>
        </w:rPr>
        <w:t>；期指方面，</w:t>
      </w:r>
      <w:r>
        <w:rPr>
          <w:rStyle w:val="ac"/>
          <w:rFonts w:hint="eastAsia"/>
          <w:b w:val="0"/>
          <w:szCs w:val="21"/>
        </w:rPr>
        <w:t>IF</w:t>
      </w:r>
      <w:r>
        <w:rPr>
          <w:rStyle w:val="ac"/>
          <w:rFonts w:hint="eastAsia"/>
          <w:b w:val="0"/>
          <w:szCs w:val="21"/>
        </w:rPr>
        <w:t>、</w:t>
      </w:r>
      <w:r>
        <w:rPr>
          <w:rStyle w:val="ac"/>
          <w:rFonts w:hint="eastAsia"/>
          <w:b w:val="0"/>
          <w:szCs w:val="21"/>
        </w:rPr>
        <w:t>IC</w:t>
      </w:r>
      <w:r>
        <w:rPr>
          <w:rStyle w:val="ac"/>
          <w:rFonts w:hint="eastAsia"/>
          <w:b w:val="0"/>
          <w:szCs w:val="21"/>
        </w:rPr>
        <w:t>收跌，</w:t>
      </w:r>
      <w:r>
        <w:rPr>
          <w:rStyle w:val="ac"/>
          <w:rFonts w:hint="eastAsia"/>
          <w:b w:val="0"/>
          <w:szCs w:val="21"/>
        </w:rPr>
        <w:t>IH</w:t>
      </w:r>
      <w:r>
        <w:rPr>
          <w:rStyle w:val="ac"/>
          <w:rFonts w:hint="eastAsia"/>
          <w:b w:val="0"/>
          <w:szCs w:val="21"/>
        </w:rPr>
        <w:t>除隔季合约外全部收红，</w:t>
      </w:r>
      <w:r w:rsidR="008F5FF4">
        <w:rPr>
          <w:rStyle w:val="ac"/>
          <w:rFonts w:hint="eastAsia"/>
          <w:b w:val="0"/>
          <w:szCs w:val="21"/>
        </w:rPr>
        <w:t>IF</w:t>
      </w:r>
      <w:r w:rsidR="008F5FF4">
        <w:rPr>
          <w:rStyle w:val="ac"/>
          <w:rFonts w:hint="eastAsia"/>
          <w:b w:val="0"/>
          <w:szCs w:val="21"/>
        </w:rPr>
        <w:t>、</w:t>
      </w:r>
      <w:r>
        <w:rPr>
          <w:rStyle w:val="ac"/>
          <w:rFonts w:hint="eastAsia"/>
          <w:b w:val="0"/>
          <w:szCs w:val="21"/>
        </w:rPr>
        <w:t>IC</w:t>
      </w:r>
      <w:r>
        <w:rPr>
          <w:rStyle w:val="ac"/>
          <w:rFonts w:hint="eastAsia"/>
          <w:b w:val="0"/>
          <w:szCs w:val="21"/>
        </w:rPr>
        <w:t>当月合约分别收跌</w:t>
      </w:r>
      <w:r>
        <w:rPr>
          <w:rStyle w:val="ac"/>
          <w:rFonts w:hint="eastAsia"/>
          <w:b w:val="0"/>
          <w:szCs w:val="21"/>
        </w:rPr>
        <w:t>0.4%</w:t>
      </w:r>
      <w:r>
        <w:rPr>
          <w:rStyle w:val="ac"/>
          <w:rFonts w:hint="eastAsia"/>
          <w:b w:val="0"/>
          <w:szCs w:val="21"/>
        </w:rPr>
        <w:t>、</w:t>
      </w:r>
      <w:r>
        <w:rPr>
          <w:rStyle w:val="ac"/>
          <w:rFonts w:hint="eastAsia"/>
          <w:b w:val="0"/>
          <w:szCs w:val="21"/>
        </w:rPr>
        <w:t>0.06%</w:t>
      </w:r>
      <w:r>
        <w:rPr>
          <w:rStyle w:val="ac"/>
          <w:rFonts w:hint="eastAsia"/>
          <w:b w:val="0"/>
          <w:szCs w:val="21"/>
        </w:rPr>
        <w:t>，</w:t>
      </w:r>
      <w:r>
        <w:rPr>
          <w:rStyle w:val="ac"/>
          <w:rFonts w:hint="eastAsia"/>
          <w:b w:val="0"/>
          <w:szCs w:val="21"/>
        </w:rPr>
        <w:t>IH</w:t>
      </w:r>
      <w:r>
        <w:rPr>
          <w:rStyle w:val="ac"/>
          <w:rFonts w:hint="eastAsia"/>
          <w:b w:val="0"/>
          <w:szCs w:val="21"/>
        </w:rPr>
        <w:t>当月收涨</w:t>
      </w:r>
      <w:r>
        <w:rPr>
          <w:rStyle w:val="ac"/>
          <w:rFonts w:hint="eastAsia"/>
          <w:b w:val="0"/>
          <w:szCs w:val="21"/>
        </w:rPr>
        <w:t>0.02%</w:t>
      </w:r>
      <w:r w:rsidR="008E484A">
        <w:rPr>
          <w:rStyle w:val="ac"/>
          <w:rFonts w:hint="eastAsia"/>
          <w:b w:val="0"/>
          <w:szCs w:val="21"/>
        </w:rPr>
        <w:t>。</w:t>
      </w:r>
    </w:p>
    <w:p w:rsidR="00264A41" w:rsidRPr="00264A41" w:rsidRDefault="0080615C" w:rsidP="00BD63A6">
      <w:pPr>
        <w:spacing w:beforeLines="50" w:before="156" w:afterLines="50" w:after="156"/>
        <w:ind w:firstLineChars="200" w:firstLine="420"/>
        <w:rPr>
          <w:rStyle w:val="ac"/>
          <w:b w:val="0"/>
          <w:szCs w:val="21"/>
        </w:rPr>
      </w:pPr>
      <w:r>
        <w:rPr>
          <w:rStyle w:val="ac"/>
          <w:rFonts w:hint="eastAsia"/>
          <w:b w:val="0"/>
          <w:szCs w:val="21"/>
        </w:rPr>
        <w:t>总持仓方面</w:t>
      </w:r>
      <w:r w:rsidR="00063AA5" w:rsidRPr="000B0E8A">
        <w:rPr>
          <w:rStyle w:val="ac"/>
          <w:rFonts w:hint="eastAsia"/>
          <w:b w:val="0"/>
          <w:szCs w:val="21"/>
        </w:rPr>
        <w:t>，</w:t>
      </w:r>
      <w:r w:rsidR="00063AA5">
        <w:rPr>
          <w:rStyle w:val="ac"/>
          <w:rFonts w:hint="eastAsia"/>
          <w:b w:val="0"/>
          <w:szCs w:val="21"/>
        </w:rPr>
        <w:t>三大期指</w:t>
      </w:r>
      <w:r w:rsidR="0036648E">
        <w:rPr>
          <w:rStyle w:val="ac"/>
          <w:rFonts w:hint="eastAsia"/>
          <w:b w:val="0"/>
          <w:szCs w:val="21"/>
        </w:rPr>
        <w:t>12</w:t>
      </w:r>
      <w:r w:rsidR="00063AA5">
        <w:rPr>
          <w:rStyle w:val="ac"/>
          <w:rFonts w:hint="eastAsia"/>
          <w:b w:val="0"/>
          <w:szCs w:val="21"/>
        </w:rPr>
        <w:t>个合约合计持仓</w:t>
      </w:r>
      <w:r w:rsidR="00330952">
        <w:rPr>
          <w:rStyle w:val="ac"/>
          <w:rFonts w:hint="eastAsia"/>
          <w:b w:val="0"/>
          <w:szCs w:val="21"/>
        </w:rPr>
        <w:t>9.3</w:t>
      </w:r>
      <w:r w:rsidR="004908FA">
        <w:rPr>
          <w:rStyle w:val="ac"/>
          <w:rFonts w:hint="eastAsia"/>
          <w:b w:val="0"/>
          <w:szCs w:val="21"/>
        </w:rPr>
        <w:t>万手，较上日</w:t>
      </w:r>
      <w:r w:rsidR="00330952">
        <w:rPr>
          <w:rStyle w:val="ac"/>
          <w:rFonts w:hint="eastAsia"/>
          <w:b w:val="0"/>
          <w:szCs w:val="21"/>
        </w:rPr>
        <w:t>大幅增加</w:t>
      </w:r>
      <w:r w:rsidR="00330952">
        <w:rPr>
          <w:rStyle w:val="ac"/>
          <w:rFonts w:hint="eastAsia"/>
          <w:b w:val="0"/>
          <w:szCs w:val="21"/>
        </w:rPr>
        <w:t>2323</w:t>
      </w:r>
      <w:r w:rsidR="00A37EF8">
        <w:rPr>
          <w:rStyle w:val="ac"/>
          <w:rFonts w:hint="eastAsia"/>
          <w:b w:val="0"/>
          <w:szCs w:val="21"/>
        </w:rPr>
        <w:t>手或</w:t>
      </w:r>
      <w:r w:rsidR="00330952">
        <w:rPr>
          <w:rStyle w:val="ac"/>
          <w:rFonts w:hint="eastAsia"/>
          <w:b w:val="0"/>
          <w:szCs w:val="21"/>
        </w:rPr>
        <w:t>2.55</w:t>
      </w:r>
      <w:r w:rsidR="00264A41" w:rsidRPr="00264A41">
        <w:rPr>
          <w:rStyle w:val="ac"/>
          <w:rFonts w:hint="eastAsia"/>
          <w:b w:val="0"/>
          <w:szCs w:val="21"/>
        </w:rPr>
        <w:t>%</w:t>
      </w:r>
      <w:r w:rsidR="00B10246">
        <w:rPr>
          <w:rStyle w:val="ac"/>
          <w:rFonts w:hint="eastAsia"/>
          <w:b w:val="0"/>
          <w:szCs w:val="21"/>
        </w:rPr>
        <w:t>。其中</w:t>
      </w:r>
      <w:r w:rsidR="00264A41" w:rsidRPr="00264A41">
        <w:rPr>
          <w:rStyle w:val="ac"/>
          <w:rFonts w:hint="eastAsia"/>
          <w:b w:val="0"/>
          <w:szCs w:val="21"/>
        </w:rPr>
        <w:t>IF</w:t>
      </w:r>
      <w:r w:rsidR="00264A41" w:rsidRPr="00264A41">
        <w:rPr>
          <w:rStyle w:val="ac"/>
          <w:rFonts w:hint="eastAsia"/>
          <w:b w:val="0"/>
          <w:szCs w:val="21"/>
        </w:rPr>
        <w:t>总持仓</w:t>
      </w:r>
      <w:r w:rsidR="00330952">
        <w:rPr>
          <w:rStyle w:val="ac"/>
          <w:rFonts w:hint="eastAsia"/>
          <w:b w:val="0"/>
          <w:szCs w:val="21"/>
        </w:rPr>
        <w:t>4.1</w:t>
      </w:r>
      <w:r w:rsidR="00330952">
        <w:rPr>
          <w:rStyle w:val="ac"/>
          <w:rFonts w:hint="eastAsia"/>
          <w:b w:val="0"/>
          <w:szCs w:val="21"/>
        </w:rPr>
        <w:t>万手，增加</w:t>
      </w:r>
      <w:r w:rsidR="00330952">
        <w:rPr>
          <w:rStyle w:val="ac"/>
          <w:rFonts w:hint="eastAsia"/>
          <w:b w:val="0"/>
          <w:szCs w:val="21"/>
        </w:rPr>
        <w:t>710</w:t>
      </w:r>
      <w:r w:rsidR="00063AA5">
        <w:rPr>
          <w:rStyle w:val="ac"/>
          <w:rFonts w:hint="eastAsia"/>
          <w:b w:val="0"/>
          <w:szCs w:val="21"/>
        </w:rPr>
        <w:t>手或</w:t>
      </w:r>
      <w:r w:rsidR="00330952">
        <w:rPr>
          <w:rStyle w:val="ac"/>
          <w:rFonts w:hint="eastAsia"/>
          <w:b w:val="0"/>
          <w:szCs w:val="21"/>
        </w:rPr>
        <w:t>1.76</w:t>
      </w:r>
      <w:r w:rsidR="00264A41" w:rsidRPr="00264A41">
        <w:rPr>
          <w:rStyle w:val="ac"/>
          <w:rFonts w:hint="eastAsia"/>
          <w:b w:val="0"/>
          <w:szCs w:val="21"/>
        </w:rPr>
        <w:t>%</w:t>
      </w:r>
      <w:r w:rsidR="00264A41" w:rsidRPr="00264A41">
        <w:rPr>
          <w:rStyle w:val="ac"/>
          <w:rFonts w:hint="eastAsia"/>
          <w:b w:val="0"/>
          <w:szCs w:val="21"/>
        </w:rPr>
        <w:t>，</w:t>
      </w:r>
      <w:r w:rsidR="00264A41" w:rsidRPr="00264A41">
        <w:rPr>
          <w:rStyle w:val="ac"/>
          <w:rFonts w:hint="eastAsia"/>
          <w:b w:val="0"/>
          <w:szCs w:val="21"/>
        </w:rPr>
        <w:t>IH</w:t>
      </w:r>
      <w:r w:rsidR="00264A41" w:rsidRPr="00264A41">
        <w:rPr>
          <w:rStyle w:val="ac"/>
          <w:rFonts w:hint="eastAsia"/>
          <w:b w:val="0"/>
          <w:szCs w:val="21"/>
        </w:rPr>
        <w:t>总持仓</w:t>
      </w:r>
      <w:r w:rsidR="00330952">
        <w:rPr>
          <w:rStyle w:val="ac"/>
          <w:rFonts w:hint="eastAsia"/>
          <w:b w:val="0"/>
          <w:szCs w:val="21"/>
        </w:rPr>
        <w:t>1.8</w:t>
      </w:r>
      <w:r w:rsidR="00063AA5">
        <w:rPr>
          <w:rStyle w:val="ac"/>
          <w:rFonts w:hint="eastAsia"/>
          <w:b w:val="0"/>
          <w:szCs w:val="21"/>
        </w:rPr>
        <w:t>万手，</w:t>
      </w:r>
      <w:r w:rsidR="00330952">
        <w:rPr>
          <w:rStyle w:val="ac"/>
          <w:rFonts w:hint="eastAsia"/>
          <w:b w:val="0"/>
          <w:szCs w:val="21"/>
        </w:rPr>
        <w:t>增加</w:t>
      </w:r>
      <w:r w:rsidR="00330952">
        <w:rPr>
          <w:rStyle w:val="ac"/>
          <w:rFonts w:hint="eastAsia"/>
          <w:b w:val="0"/>
          <w:szCs w:val="21"/>
        </w:rPr>
        <w:t>774</w:t>
      </w:r>
      <w:r w:rsidR="00063AA5">
        <w:rPr>
          <w:rStyle w:val="ac"/>
          <w:rFonts w:hint="eastAsia"/>
          <w:b w:val="0"/>
          <w:szCs w:val="21"/>
        </w:rPr>
        <w:t>手或</w:t>
      </w:r>
      <w:r w:rsidR="00330952">
        <w:rPr>
          <w:rStyle w:val="ac"/>
          <w:rFonts w:hint="eastAsia"/>
          <w:b w:val="0"/>
          <w:szCs w:val="21"/>
        </w:rPr>
        <w:t>4.44</w:t>
      </w:r>
      <w:r w:rsidR="00B10246">
        <w:rPr>
          <w:rStyle w:val="ac"/>
          <w:rFonts w:hint="eastAsia"/>
          <w:b w:val="0"/>
          <w:szCs w:val="21"/>
        </w:rPr>
        <w:t>%</w:t>
      </w:r>
      <w:r w:rsidR="00B10246">
        <w:rPr>
          <w:rStyle w:val="ac"/>
          <w:rFonts w:hint="eastAsia"/>
          <w:b w:val="0"/>
          <w:szCs w:val="21"/>
        </w:rPr>
        <w:t>，</w:t>
      </w:r>
      <w:r w:rsidR="00264A41" w:rsidRPr="00264A41">
        <w:rPr>
          <w:rStyle w:val="ac"/>
          <w:rFonts w:hint="eastAsia"/>
          <w:b w:val="0"/>
          <w:szCs w:val="21"/>
        </w:rPr>
        <w:t>IC</w:t>
      </w:r>
      <w:r w:rsidR="00264A41" w:rsidRPr="00264A41">
        <w:rPr>
          <w:rStyle w:val="ac"/>
          <w:rFonts w:hint="eastAsia"/>
          <w:b w:val="0"/>
          <w:szCs w:val="21"/>
        </w:rPr>
        <w:t>总持仓</w:t>
      </w:r>
      <w:r w:rsidR="00330952">
        <w:rPr>
          <w:rStyle w:val="ac"/>
          <w:rFonts w:hint="eastAsia"/>
          <w:b w:val="0"/>
          <w:szCs w:val="21"/>
        </w:rPr>
        <w:t>3.4</w:t>
      </w:r>
      <w:r w:rsidR="00330952">
        <w:rPr>
          <w:rStyle w:val="ac"/>
          <w:rFonts w:hint="eastAsia"/>
          <w:b w:val="0"/>
          <w:szCs w:val="21"/>
        </w:rPr>
        <w:t>万手，增加</w:t>
      </w:r>
      <w:r w:rsidR="00330952">
        <w:rPr>
          <w:rStyle w:val="ac"/>
          <w:rFonts w:hint="eastAsia"/>
          <w:b w:val="0"/>
          <w:szCs w:val="21"/>
        </w:rPr>
        <w:t>839</w:t>
      </w:r>
      <w:r w:rsidR="008C55FA">
        <w:rPr>
          <w:rStyle w:val="ac"/>
          <w:rFonts w:hint="eastAsia"/>
          <w:b w:val="0"/>
          <w:szCs w:val="21"/>
        </w:rPr>
        <w:t>手</w:t>
      </w:r>
      <w:r w:rsidR="001A4A54">
        <w:rPr>
          <w:rStyle w:val="ac"/>
          <w:rFonts w:hint="eastAsia"/>
          <w:b w:val="0"/>
          <w:szCs w:val="21"/>
        </w:rPr>
        <w:t>或</w:t>
      </w:r>
      <w:r w:rsidR="00330952">
        <w:rPr>
          <w:rStyle w:val="ac"/>
          <w:rFonts w:hint="eastAsia"/>
          <w:b w:val="0"/>
          <w:szCs w:val="21"/>
        </w:rPr>
        <w:t>2.53</w:t>
      </w:r>
      <w:r w:rsidR="001A4A54">
        <w:rPr>
          <w:rStyle w:val="ac"/>
          <w:rFonts w:hint="eastAsia"/>
          <w:b w:val="0"/>
          <w:szCs w:val="21"/>
        </w:rPr>
        <w:t>%</w:t>
      </w:r>
      <w:r w:rsidR="00FC2171">
        <w:rPr>
          <w:rStyle w:val="ac"/>
          <w:rFonts w:hint="eastAsia"/>
          <w:b w:val="0"/>
          <w:szCs w:val="21"/>
        </w:rPr>
        <w:t>。</w:t>
      </w:r>
    </w:p>
    <w:p w:rsidR="00820F9E" w:rsidRDefault="002D1931" w:rsidP="0094089A">
      <w:pPr>
        <w:spacing w:beforeLines="50" w:before="156" w:afterLines="50" w:after="156"/>
        <w:ind w:firstLineChars="200" w:firstLine="420"/>
        <w:rPr>
          <w:rStyle w:val="ac"/>
          <w:b w:val="0"/>
          <w:szCs w:val="21"/>
        </w:rPr>
      </w:pPr>
      <w:r>
        <w:rPr>
          <w:rStyle w:val="ac"/>
          <w:rFonts w:hint="eastAsia"/>
          <w:b w:val="0"/>
          <w:szCs w:val="21"/>
        </w:rPr>
        <w:t>具体品种里</w:t>
      </w:r>
      <w:r w:rsidR="00315501" w:rsidRPr="000B0E8A">
        <w:rPr>
          <w:rStyle w:val="ac"/>
          <w:rFonts w:hint="eastAsia"/>
          <w:b w:val="0"/>
          <w:szCs w:val="21"/>
        </w:rPr>
        <w:t>，</w:t>
      </w:r>
      <w:r>
        <w:rPr>
          <w:rStyle w:val="ac"/>
          <w:rFonts w:hint="eastAsia"/>
          <w:b w:val="0"/>
          <w:szCs w:val="21"/>
        </w:rPr>
        <w:t>IF</w:t>
      </w:r>
      <w:r>
        <w:rPr>
          <w:rStyle w:val="ac"/>
          <w:rFonts w:hint="eastAsia"/>
          <w:b w:val="0"/>
          <w:szCs w:val="21"/>
        </w:rPr>
        <w:t>方面，前二十名</w:t>
      </w:r>
      <w:r w:rsidR="006945E9">
        <w:rPr>
          <w:rStyle w:val="ac"/>
          <w:rFonts w:hint="eastAsia"/>
          <w:b w:val="0"/>
          <w:szCs w:val="21"/>
        </w:rPr>
        <w:t>主力会员</w:t>
      </w:r>
      <w:r>
        <w:rPr>
          <w:rStyle w:val="ac"/>
          <w:rFonts w:hint="eastAsia"/>
          <w:b w:val="0"/>
          <w:szCs w:val="21"/>
        </w:rPr>
        <w:t>合计持</w:t>
      </w:r>
      <w:r w:rsidR="001A510B">
        <w:rPr>
          <w:rStyle w:val="ac"/>
          <w:rFonts w:hint="eastAsia"/>
          <w:b w:val="0"/>
          <w:szCs w:val="21"/>
        </w:rPr>
        <w:t>净多仓</w:t>
      </w:r>
      <w:r w:rsidR="00330952">
        <w:rPr>
          <w:rStyle w:val="ac"/>
          <w:rFonts w:hint="eastAsia"/>
          <w:b w:val="0"/>
          <w:szCs w:val="21"/>
        </w:rPr>
        <w:t>1042</w:t>
      </w:r>
      <w:r>
        <w:rPr>
          <w:rStyle w:val="ac"/>
          <w:rFonts w:hint="eastAsia"/>
          <w:b w:val="0"/>
          <w:szCs w:val="21"/>
        </w:rPr>
        <w:t>手，</w:t>
      </w:r>
      <w:r w:rsidR="00891539">
        <w:rPr>
          <w:rStyle w:val="ac"/>
          <w:rFonts w:hint="eastAsia"/>
          <w:b w:val="0"/>
          <w:szCs w:val="21"/>
        </w:rPr>
        <w:t>减少</w:t>
      </w:r>
      <w:r w:rsidR="00330952">
        <w:rPr>
          <w:rStyle w:val="ac"/>
          <w:rFonts w:hint="eastAsia"/>
          <w:b w:val="0"/>
          <w:szCs w:val="21"/>
        </w:rPr>
        <w:t>36</w:t>
      </w:r>
      <w:r w:rsidR="009848E9">
        <w:rPr>
          <w:rStyle w:val="ac"/>
          <w:rFonts w:hint="eastAsia"/>
          <w:b w:val="0"/>
          <w:szCs w:val="21"/>
        </w:rPr>
        <w:t>手，</w:t>
      </w:r>
      <w:r w:rsidR="00FC2171">
        <w:rPr>
          <w:rStyle w:val="ac"/>
          <w:rFonts w:hint="eastAsia"/>
          <w:b w:val="0"/>
          <w:szCs w:val="21"/>
        </w:rPr>
        <w:t>多头力量</w:t>
      </w:r>
      <w:r w:rsidR="00891539">
        <w:rPr>
          <w:rStyle w:val="ac"/>
          <w:rFonts w:hint="eastAsia"/>
          <w:b w:val="0"/>
          <w:szCs w:val="21"/>
        </w:rPr>
        <w:t>基本维持不变</w:t>
      </w:r>
      <w:r w:rsidR="00C50DBC">
        <w:rPr>
          <w:rStyle w:val="ac"/>
          <w:rFonts w:hint="eastAsia"/>
          <w:b w:val="0"/>
          <w:szCs w:val="21"/>
        </w:rPr>
        <w:t>，</w:t>
      </w:r>
      <w:r w:rsidR="00891539">
        <w:rPr>
          <w:rStyle w:val="ac"/>
          <w:rFonts w:hint="eastAsia"/>
          <w:b w:val="0"/>
          <w:szCs w:val="21"/>
        </w:rPr>
        <w:t>前</w:t>
      </w:r>
      <w:r w:rsidR="00C50DBC">
        <w:rPr>
          <w:rStyle w:val="ac"/>
          <w:rFonts w:hint="eastAsia"/>
          <w:b w:val="0"/>
          <w:szCs w:val="21"/>
        </w:rPr>
        <w:t>二十名多空主力</w:t>
      </w:r>
      <w:r w:rsidR="007D31AE">
        <w:rPr>
          <w:rStyle w:val="ac"/>
          <w:rFonts w:hint="eastAsia"/>
          <w:b w:val="0"/>
          <w:szCs w:val="21"/>
        </w:rPr>
        <w:t>均增</w:t>
      </w:r>
      <w:r w:rsidR="001E3552">
        <w:rPr>
          <w:rStyle w:val="ac"/>
          <w:rFonts w:hint="eastAsia"/>
          <w:b w:val="0"/>
          <w:szCs w:val="21"/>
        </w:rPr>
        <w:t>持</w:t>
      </w:r>
      <w:r w:rsidR="00167670">
        <w:rPr>
          <w:rStyle w:val="ac"/>
          <w:rFonts w:hint="eastAsia"/>
          <w:b w:val="0"/>
          <w:szCs w:val="21"/>
        </w:rPr>
        <w:t>，</w:t>
      </w:r>
      <w:r w:rsidR="007D31AE">
        <w:rPr>
          <w:rStyle w:val="ac"/>
          <w:rFonts w:hint="eastAsia"/>
          <w:b w:val="0"/>
          <w:szCs w:val="21"/>
        </w:rPr>
        <w:t>且增</w:t>
      </w:r>
      <w:r w:rsidR="009240F0">
        <w:rPr>
          <w:rStyle w:val="ac"/>
          <w:rFonts w:hint="eastAsia"/>
          <w:b w:val="0"/>
          <w:szCs w:val="21"/>
        </w:rPr>
        <w:t>持幅度基本对冲</w:t>
      </w:r>
      <w:r w:rsidR="00C50DBC">
        <w:rPr>
          <w:rStyle w:val="ac"/>
          <w:rFonts w:hint="eastAsia"/>
          <w:b w:val="0"/>
          <w:szCs w:val="21"/>
        </w:rPr>
        <w:t>，显示</w:t>
      </w:r>
      <w:r w:rsidR="00C50DBC">
        <w:rPr>
          <w:rStyle w:val="ac"/>
          <w:rFonts w:hint="eastAsia"/>
          <w:b w:val="0"/>
          <w:szCs w:val="21"/>
        </w:rPr>
        <w:t>IF</w:t>
      </w:r>
      <w:r w:rsidR="009240F0">
        <w:rPr>
          <w:rStyle w:val="ac"/>
          <w:rFonts w:hint="eastAsia"/>
          <w:b w:val="0"/>
          <w:szCs w:val="21"/>
        </w:rPr>
        <w:t>后市前景较</w:t>
      </w:r>
      <w:r w:rsidR="001E3552">
        <w:rPr>
          <w:rStyle w:val="ac"/>
          <w:rFonts w:hint="eastAsia"/>
          <w:b w:val="0"/>
          <w:szCs w:val="21"/>
        </w:rPr>
        <w:t>不明朗</w:t>
      </w:r>
      <w:r w:rsidR="00340966">
        <w:rPr>
          <w:rStyle w:val="ac"/>
          <w:rFonts w:hint="eastAsia"/>
          <w:b w:val="0"/>
          <w:szCs w:val="21"/>
        </w:rPr>
        <w:t>；</w:t>
      </w:r>
      <w:r w:rsidR="00AC2AE1" w:rsidRPr="000B0E8A">
        <w:rPr>
          <w:rStyle w:val="ac"/>
          <w:rFonts w:hint="eastAsia"/>
          <w:b w:val="0"/>
          <w:szCs w:val="21"/>
        </w:rPr>
        <w:t>IH</w:t>
      </w:r>
      <w:r w:rsidR="006945E9">
        <w:rPr>
          <w:rStyle w:val="ac"/>
          <w:rFonts w:hint="eastAsia"/>
          <w:b w:val="0"/>
          <w:szCs w:val="21"/>
        </w:rPr>
        <w:t>方面，前二十名</w:t>
      </w:r>
      <w:r>
        <w:rPr>
          <w:rStyle w:val="ac"/>
          <w:rFonts w:hint="eastAsia"/>
          <w:b w:val="0"/>
          <w:szCs w:val="21"/>
        </w:rPr>
        <w:t>主力</w:t>
      </w:r>
      <w:r w:rsidR="006945E9">
        <w:rPr>
          <w:rStyle w:val="ac"/>
          <w:rFonts w:hint="eastAsia"/>
          <w:b w:val="0"/>
          <w:szCs w:val="21"/>
        </w:rPr>
        <w:t>会员</w:t>
      </w:r>
      <w:r w:rsidR="00F7411C">
        <w:rPr>
          <w:rStyle w:val="ac"/>
          <w:rFonts w:hint="eastAsia"/>
          <w:b w:val="0"/>
          <w:szCs w:val="21"/>
        </w:rPr>
        <w:t>合计持净空</w:t>
      </w:r>
      <w:r>
        <w:rPr>
          <w:rStyle w:val="ac"/>
          <w:rFonts w:hint="eastAsia"/>
          <w:b w:val="0"/>
          <w:szCs w:val="21"/>
        </w:rPr>
        <w:t>仓</w:t>
      </w:r>
      <w:r w:rsidR="007D31AE">
        <w:rPr>
          <w:rStyle w:val="ac"/>
          <w:rFonts w:hint="eastAsia"/>
          <w:b w:val="0"/>
          <w:szCs w:val="21"/>
        </w:rPr>
        <w:t>519</w:t>
      </w:r>
      <w:r w:rsidR="00891539">
        <w:rPr>
          <w:rStyle w:val="ac"/>
          <w:rFonts w:hint="eastAsia"/>
          <w:b w:val="0"/>
          <w:szCs w:val="21"/>
        </w:rPr>
        <w:t>手，</w:t>
      </w:r>
      <w:r w:rsidR="007D31AE">
        <w:rPr>
          <w:rStyle w:val="ac"/>
          <w:rFonts w:hint="eastAsia"/>
          <w:b w:val="0"/>
          <w:szCs w:val="21"/>
        </w:rPr>
        <w:t>较昨日大幅减少</w:t>
      </w:r>
      <w:r w:rsidR="007D31AE">
        <w:rPr>
          <w:rStyle w:val="ac"/>
          <w:rFonts w:hint="eastAsia"/>
          <w:b w:val="0"/>
          <w:szCs w:val="21"/>
        </w:rPr>
        <w:t>731</w:t>
      </w:r>
      <w:r w:rsidR="001E3552">
        <w:rPr>
          <w:rStyle w:val="ac"/>
          <w:rFonts w:hint="eastAsia"/>
          <w:b w:val="0"/>
          <w:szCs w:val="21"/>
        </w:rPr>
        <w:t>手，空头力量</w:t>
      </w:r>
      <w:r w:rsidR="007D31AE">
        <w:rPr>
          <w:rStyle w:val="ac"/>
          <w:rFonts w:hint="eastAsia"/>
          <w:b w:val="0"/>
          <w:szCs w:val="21"/>
        </w:rPr>
        <w:t>明显削弱</w:t>
      </w:r>
      <w:r w:rsidR="00F7411C">
        <w:rPr>
          <w:rStyle w:val="ac"/>
          <w:rFonts w:hint="eastAsia"/>
          <w:b w:val="0"/>
          <w:szCs w:val="21"/>
        </w:rPr>
        <w:t>，</w:t>
      </w:r>
      <w:r w:rsidR="007D31AE">
        <w:rPr>
          <w:rStyle w:val="ac"/>
          <w:rFonts w:hint="eastAsia"/>
          <w:b w:val="0"/>
          <w:szCs w:val="21"/>
        </w:rPr>
        <w:t>前二十名多空主力均有较大幅度增持，且多头主力增幅较大，</w:t>
      </w:r>
      <w:r w:rsidR="00891539">
        <w:rPr>
          <w:rStyle w:val="ac"/>
          <w:rFonts w:hint="eastAsia"/>
          <w:b w:val="0"/>
          <w:szCs w:val="21"/>
        </w:rPr>
        <w:t>综合看来，</w:t>
      </w:r>
      <w:r w:rsidR="007D31AE">
        <w:rPr>
          <w:rStyle w:val="ac"/>
          <w:rFonts w:hint="eastAsia"/>
          <w:b w:val="0"/>
          <w:szCs w:val="21"/>
        </w:rPr>
        <w:t>IH</w:t>
      </w:r>
      <w:r w:rsidR="007D31AE">
        <w:rPr>
          <w:rStyle w:val="ac"/>
          <w:rFonts w:hint="eastAsia"/>
          <w:b w:val="0"/>
          <w:szCs w:val="21"/>
        </w:rPr>
        <w:t>后市继续上涨动力较足</w:t>
      </w:r>
      <w:r w:rsidR="00340966">
        <w:rPr>
          <w:rStyle w:val="ac"/>
          <w:rFonts w:hint="eastAsia"/>
          <w:b w:val="0"/>
          <w:szCs w:val="21"/>
        </w:rPr>
        <w:t>；</w:t>
      </w:r>
      <w:r w:rsidR="00AC2AE1" w:rsidRPr="000B0E8A">
        <w:rPr>
          <w:rStyle w:val="ac"/>
          <w:rFonts w:hint="eastAsia"/>
          <w:b w:val="0"/>
          <w:szCs w:val="21"/>
        </w:rPr>
        <w:t>IC</w:t>
      </w:r>
      <w:r>
        <w:rPr>
          <w:rStyle w:val="ac"/>
          <w:rFonts w:hint="eastAsia"/>
          <w:b w:val="0"/>
          <w:szCs w:val="21"/>
        </w:rPr>
        <w:t>方面</w:t>
      </w:r>
      <w:r w:rsidR="00340966">
        <w:rPr>
          <w:rStyle w:val="ac"/>
          <w:rFonts w:hint="eastAsia"/>
          <w:b w:val="0"/>
          <w:szCs w:val="21"/>
        </w:rPr>
        <w:t>，</w:t>
      </w:r>
      <w:r w:rsidR="00C50DBC">
        <w:rPr>
          <w:rStyle w:val="ac"/>
          <w:rFonts w:hint="eastAsia"/>
          <w:b w:val="0"/>
          <w:szCs w:val="21"/>
        </w:rPr>
        <w:t>前二十名主力会员</w:t>
      </w:r>
      <w:r w:rsidR="00C50DBC" w:rsidRPr="00C50DBC">
        <w:rPr>
          <w:rStyle w:val="ac"/>
          <w:rFonts w:hint="eastAsia"/>
          <w:b w:val="0"/>
          <w:szCs w:val="21"/>
        </w:rPr>
        <w:t>合计持</w:t>
      </w:r>
      <w:r w:rsidR="003A2B75">
        <w:rPr>
          <w:rStyle w:val="ac"/>
          <w:rFonts w:hint="eastAsia"/>
          <w:b w:val="0"/>
          <w:szCs w:val="21"/>
        </w:rPr>
        <w:t>净空单</w:t>
      </w:r>
      <w:r w:rsidR="007D31AE">
        <w:rPr>
          <w:rStyle w:val="ac"/>
          <w:rFonts w:hint="eastAsia"/>
          <w:b w:val="0"/>
          <w:szCs w:val="21"/>
        </w:rPr>
        <w:t>607</w:t>
      </w:r>
      <w:r w:rsidR="00724538">
        <w:rPr>
          <w:rStyle w:val="ac"/>
          <w:rFonts w:hint="eastAsia"/>
          <w:b w:val="0"/>
          <w:szCs w:val="21"/>
        </w:rPr>
        <w:t>手，</w:t>
      </w:r>
      <w:r w:rsidR="007D31AE">
        <w:rPr>
          <w:rStyle w:val="ac"/>
          <w:rFonts w:hint="eastAsia"/>
          <w:b w:val="0"/>
          <w:szCs w:val="21"/>
        </w:rPr>
        <w:t>减少</w:t>
      </w:r>
      <w:r w:rsidR="007D31AE">
        <w:rPr>
          <w:rStyle w:val="ac"/>
          <w:rFonts w:hint="eastAsia"/>
          <w:b w:val="0"/>
          <w:szCs w:val="21"/>
        </w:rPr>
        <w:t>147</w:t>
      </w:r>
      <w:r w:rsidR="00891539">
        <w:rPr>
          <w:rStyle w:val="ac"/>
          <w:rFonts w:hint="eastAsia"/>
          <w:b w:val="0"/>
          <w:szCs w:val="21"/>
        </w:rPr>
        <w:t>手</w:t>
      </w:r>
      <w:r w:rsidR="003A2B75">
        <w:rPr>
          <w:rStyle w:val="ac"/>
          <w:rFonts w:hint="eastAsia"/>
          <w:b w:val="0"/>
          <w:szCs w:val="21"/>
        </w:rPr>
        <w:t>，</w:t>
      </w:r>
      <w:r w:rsidR="001E3552">
        <w:rPr>
          <w:rStyle w:val="ac"/>
          <w:rFonts w:hint="eastAsia"/>
          <w:b w:val="0"/>
          <w:szCs w:val="21"/>
        </w:rPr>
        <w:t>空头力量</w:t>
      </w:r>
      <w:r w:rsidR="007D31AE">
        <w:rPr>
          <w:rStyle w:val="ac"/>
          <w:rFonts w:hint="eastAsia"/>
          <w:b w:val="0"/>
          <w:szCs w:val="21"/>
        </w:rPr>
        <w:t>略有减弱</w:t>
      </w:r>
      <w:r w:rsidR="001E3552">
        <w:rPr>
          <w:rStyle w:val="ac"/>
          <w:rFonts w:hint="eastAsia"/>
          <w:b w:val="0"/>
          <w:szCs w:val="21"/>
        </w:rPr>
        <w:t>，</w:t>
      </w:r>
      <w:r w:rsidR="00C50DBC">
        <w:rPr>
          <w:rStyle w:val="ac"/>
          <w:rFonts w:hint="eastAsia"/>
          <w:b w:val="0"/>
          <w:szCs w:val="21"/>
        </w:rPr>
        <w:t>前二十名</w:t>
      </w:r>
      <w:r w:rsidR="007D31AE">
        <w:rPr>
          <w:rStyle w:val="ac"/>
          <w:rFonts w:hint="eastAsia"/>
          <w:b w:val="0"/>
          <w:szCs w:val="21"/>
        </w:rPr>
        <w:t>多空主力军有所增持，多头主力增持</w:t>
      </w:r>
      <w:r w:rsidR="009240F0">
        <w:rPr>
          <w:rStyle w:val="ac"/>
          <w:rFonts w:hint="eastAsia"/>
          <w:b w:val="0"/>
          <w:szCs w:val="21"/>
        </w:rPr>
        <w:t>更为明显，</w:t>
      </w:r>
      <w:r w:rsidR="007D31AE">
        <w:rPr>
          <w:rStyle w:val="ac"/>
          <w:rFonts w:hint="eastAsia"/>
          <w:b w:val="0"/>
          <w:szCs w:val="21"/>
        </w:rPr>
        <w:t>显示</w:t>
      </w:r>
      <w:r w:rsidR="007D31AE">
        <w:rPr>
          <w:rStyle w:val="ac"/>
          <w:rFonts w:hint="eastAsia"/>
          <w:b w:val="0"/>
          <w:szCs w:val="21"/>
        </w:rPr>
        <w:t>IC</w:t>
      </w:r>
      <w:r w:rsidR="007D31AE">
        <w:rPr>
          <w:rStyle w:val="ac"/>
          <w:rFonts w:hint="eastAsia"/>
          <w:b w:val="0"/>
          <w:szCs w:val="21"/>
        </w:rPr>
        <w:t>后市上涨比下跌可能性大。</w:t>
      </w:r>
      <w:r w:rsidR="005D45B3">
        <w:rPr>
          <w:rStyle w:val="ac"/>
          <w:b w:val="0"/>
          <w:szCs w:val="21"/>
        </w:rPr>
        <w:t xml:space="preserve"> </w:t>
      </w:r>
    </w:p>
    <w:p w:rsidR="0017011A" w:rsidRDefault="00330952" w:rsidP="0017011A">
      <w:pPr>
        <w:spacing w:beforeLines="50" w:before="156" w:afterLines="50" w:after="156"/>
        <w:ind w:firstLineChars="200" w:firstLine="420"/>
        <w:rPr>
          <w:rStyle w:val="ac"/>
          <w:b w:val="0"/>
          <w:szCs w:val="21"/>
        </w:rPr>
      </w:pPr>
      <w:r>
        <w:rPr>
          <w:rStyle w:val="ac"/>
          <w:rFonts w:hint="eastAsia"/>
          <w:b w:val="0"/>
          <w:szCs w:val="21"/>
        </w:rPr>
        <w:t>本周</w:t>
      </w:r>
      <w:r>
        <w:rPr>
          <w:rStyle w:val="ac"/>
          <w:rFonts w:hint="eastAsia"/>
          <w:b w:val="0"/>
          <w:szCs w:val="21"/>
        </w:rPr>
        <w:t>A</w:t>
      </w:r>
      <w:r>
        <w:rPr>
          <w:rStyle w:val="ac"/>
          <w:rFonts w:hint="eastAsia"/>
          <w:b w:val="0"/>
          <w:szCs w:val="21"/>
        </w:rPr>
        <w:t>股在连续上涨三个交易日后，基本站稳</w:t>
      </w:r>
      <w:r>
        <w:rPr>
          <w:rStyle w:val="ac"/>
          <w:rFonts w:hint="eastAsia"/>
          <w:b w:val="0"/>
          <w:szCs w:val="21"/>
        </w:rPr>
        <w:t>2900</w:t>
      </w:r>
      <w:r>
        <w:rPr>
          <w:rStyle w:val="ac"/>
          <w:rFonts w:hint="eastAsia"/>
          <w:b w:val="0"/>
          <w:szCs w:val="21"/>
        </w:rPr>
        <w:t>点上方，</w:t>
      </w:r>
      <w:r w:rsidR="00C95C2A">
        <w:rPr>
          <w:rStyle w:val="ac"/>
          <w:rFonts w:hint="eastAsia"/>
          <w:b w:val="0"/>
          <w:szCs w:val="21"/>
        </w:rPr>
        <w:t>但连续两个交易日始终在</w:t>
      </w:r>
      <w:r w:rsidR="00C95C2A">
        <w:rPr>
          <w:rStyle w:val="ac"/>
          <w:rFonts w:hint="eastAsia"/>
          <w:b w:val="0"/>
          <w:szCs w:val="21"/>
        </w:rPr>
        <w:t>2930</w:t>
      </w:r>
      <w:r w:rsidR="00C95C2A">
        <w:rPr>
          <w:rStyle w:val="ac"/>
          <w:rFonts w:hint="eastAsia"/>
          <w:b w:val="0"/>
          <w:szCs w:val="21"/>
        </w:rPr>
        <w:t>点附近震荡，继续上涨遇到一定压力，成交额连续萎缩，期指市场出于对冲的需要，成交量今日出现反弹，总体而言，短期内利空已经基本在</w:t>
      </w:r>
      <w:r w:rsidR="00C95C2A">
        <w:rPr>
          <w:rStyle w:val="ac"/>
          <w:rFonts w:hint="eastAsia"/>
          <w:b w:val="0"/>
          <w:szCs w:val="21"/>
        </w:rPr>
        <w:t>6</w:t>
      </w:r>
      <w:r w:rsidR="00C95C2A">
        <w:rPr>
          <w:rStyle w:val="ac"/>
          <w:rFonts w:hint="eastAsia"/>
          <w:b w:val="0"/>
          <w:szCs w:val="21"/>
        </w:rPr>
        <w:t>月出尽，</w:t>
      </w:r>
      <w:r w:rsidR="00C95C2A">
        <w:rPr>
          <w:rStyle w:val="ac"/>
          <w:rFonts w:hint="eastAsia"/>
          <w:b w:val="0"/>
          <w:szCs w:val="21"/>
        </w:rPr>
        <w:t>7</w:t>
      </w:r>
      <w:r w:rsidR="00C95C2A">
        <w:rPr>
          <w:rStyle w:val="ac"/>
          <w:rFonts w:hint="eastAsia"/>
          <w:b w:val="0"/>
          <w:szCs w:val="21"/>
        </w:rPr>
        <w:t>月暂时没有负面消息的情况下，股市依然可能启动一波小幅上涨，如果能冲上</w:t>
      </w:r>
      <w:r w:rsidR="00C95C2A">
        <w:rPr>
          <w:rStyle w:val="ac"/>
          <w:rFonts w:hint="eastAsia"/>
          <w:b w:val="0"/>
          <w:szCs w:val="21"/>
        </w:rPr>
        <w:t>2950</w:t>
      </w:r>
      <w:r w:rsidR="00C95C2A">
        <w:rPr>
          <w:rStyle w:val="ac"/>
          <w:rFonts w:hint="eastAsia"/>
          <w:b w:val="0"/>
          <w:szCs w:val="21"/>
        </w:rPr>
        <w:t>，则行情可期，投资者可以开始入场做多。</w:t>
      </w:r>
    </w:p>
    <w:p w:rsidR="005B38F8" w:rsidRDefault="007D31AE" w:rsidP="009240F0">
      <w:pPr>
        <w:spacing w:beforeLines="50" w:before="156" w:afterLines="50" w:after="156"/>
        <w:rPr>
          <w:rStyle w:val="ac"/>
          <w:b w:val="0"/>
          <w:szCs w:val="21"/>
        </w:rPr>
      </w:pPr>
      <w:r>
        <w:rPr>
          <w:noProof/>
        </w:rPr>
        <w:drawing>
          <wp:inline distT="0" distB="0" distL="0" distR="0" wp14:anchorId="6DB945B5" wp14:editId="549671E5">
            <wp:extent cx="4591050" cy="2262188"/>
            <wp:effectExtent l="0" t="0" r="19050" b="241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0594" w:rsidRDefault="00E00594" w:rsidP="0094089A">
      <w:pPr>
        <w:spacing w:beforeLines="50" w:before="156" w:afterLines="50" w:after="156"/>
        <w:ind w:firstLineChars="200" w:firstLine="420"/>
        <w:rPr>
          <w:rStyle w:val="ac"/>
          <w:b w:val="0"/>
          <w:szCs w:val="21"/>
        </w:rPr>
      </w:pPr>
    </w:p>
    <w:p w:rsidR="005801E8" w:rsidRPr="004D1C3C" w:rsidRDefault="005801E8" w:rsidP="004D1C3C">
      <w:pPr>
        <w:widowControl/>
        <w:jc w:val="center"/>
        <w:rPr>
          <w:rStyle w:val="ac"/>
          <w:rFonts w:ascii="宋体" w:hAnsi="宋体" w:cs="宋体"/>
          <w:b w:val="0"/>
          <w:bCs w:val="0"/>
          <w:kern w:val="0"/>
          <w:sz w:val="24"/>
          <w:szCs w:val="24"/>
        </w:rPr>
      </w:pPr>
    </w:p>
    <w:p w:rsidR="00E43077" w:rsidRPr="00C44E2A" w:rsidRDefault="00E43077" w:rsidP="00C44E2A">
      <w:pPr>
        <w:spacing w:beforeLines="50" w:before="156" w:afterLines="50" w:after="156"/>
        <w:rPr>
          <w:rStyle w:val="ac"/>
          <w:b w:val="0"/>
          <w:szCs w:val="21"/>
        </w:rPr>
      </w:pPr>
    </w:p>
    <w:p w:rsidR="000C4CFD" w:rsidRDefault="000C4CFD" w:rsidP="00571E2E">
      <w:pPr>
        <w:pStyle w:val="p17"/>
        <w:jc w:val="center"/>
        <w:rPr>
          <w:rFonts w:ascii="宋体" w:hAnsi="宋体"/>
          <w:b/>
          <w:bCs/>
          <w:color w:val="000080"/>
          <w:sz w:val="28"/>
          <w:szCs w:val="28"/>
        </w:rPr>
      </w:pPr>
    </w:p>
    <w:p w:rsidR="00785B3B" w:rsidRDefault="00785B3B" w:rsidP="005D363D">
      <w:pPr>
        <w:pStyle w:val="p17"/>
        <w:jc w:val="center"/>
        <w:rPr>
          <w:rFonts w:ascii="宋体" w:hAnsi="宋体"/>
          <w:b/>
          <w:bCs/>
          <w:color w:val="000080"/>
          <w:sz w:val="28"/>
          <w:szCs w:val="28"/>
        </w:rPr>
      </w:pPr>
    </w:p>
    <w:p w:rsidR="00785B3B" w:rsidRDefault="00785B3B" w:rsidP="005D363D">
      <w:pPr>
        <w:pStyle w:val="p17"/>
        <w:jc w:val="center"/>
        <w:rPr>
          <w:rFonts w:ascii="宋体" w:hAnsi="宋体"/>
          <w:b/>
          <w:bCs/>
          <w:color w:val="000080"/>
          <w:sz w:val="28"/>
          <w:szCs w:val="28"/>
        </w:rPr>
      </w:pPr>
    </w:p>
    <w:p w:rsidR="007D31AE" w:rsidRDefault="007D31AE" w:rsidP="005F790D">
      <w:pPr>
        <w:pStyle w:val="p17"/>
        <w:jc w:val="center"/>
        <w:rPr>
          <w:rFonts w:ascii="宋体" w:hAnsi="宋体"/>
          <w:b/>
          <w:bCs/>
          <w:color w:val="000080"/>
          <w:sz w:val="28"/>
          <w:szCs w:val="28"/>
        </w:rPr>
      </w:pPr>
    </w:p>
    <w:p w:rsidR="00571E2E" w:rsidRDefault="00571E2E" w:rsidP="005F790D">
      <w:pPr>
        <w:pStyle w:val="p17"/>
        <w:jc w:val="center"/>
        <w:rPr>
          <w:rFonts w:ascii="宋体" w:hAnsi="宋体"/>
          <w:b/>
          <w:bCs/>
          <w:color w:val="000080"/>
          <w:sz w:val="28"/>
          <w:szCs w:val="28"/>
        </w:rPr>
      </w:pPr>
      <w:r>
        <w:rPr>
          <w:rFonts w:ascii="宋体" w:hAnsi="宋体" w:hint="eastAsia"/>
          <w:b/>
          <w:bCs/>
          <w:color w:val="000080"/>
          <w:sz w:val="28"/>
          <w:szCs w:val="28"/>
        </w:rPr>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在宏观经济、产业领域的高端研究资源优势，以“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94E" w:rsidRDefault="0026594E">
      <w:r>
        <w:separator/>
      </w:r>
    </w:p>
  </w:endnote>
  <w:endnote w:type="continuationSeparator" w:id="0">
    <w:p w:rsidR="0026594E" w:rsidRDefault="0026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94E" w:rsidRDefault="0026594E">
      <w:r>
        <w:separator/>
      </w:r>
    </w:p>
  </w:footnote>
  <w:footnote w:type="continuationSeparator" w:id="0">
    <w:p w:rsidR="0026594E" w:rsidRDefault="0026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905"/>
    <w:rsid w:val="00030592"/>
    <w:rsid w:val="000305F7"/>
    <w:rsid w:val="00032641"/>
    <w:rsid w:val="00033173"/>
    <w:rsid w:val="00034A41"/>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625F"/>
    <w:rsid w:val="00056EF5"/>
    <w:rsid w:val="00056F31"/>
    <w:rsid w:val="00060032"/>
    <w:rsid w:val="00060162"/>
    <w:rsid w:val="00061852"/>
    <w:rsid w:val="00063AA5"/>
    <w:rsid w:val="00064247"/>
    <w:rsid w:val="00064C21"/>
    <w:rsid w:val="0006668F"/>
    <w:rsid w:val="00066E58"/>
    <w:rsid w:val="00066F3D"/>
    <w:rsid w:val="0006791A"/>
    <w:rsid w:val="00070164"/>
    <w:rsid w:val="000710AE"/>
    <w:rsid w:val="00071202"/>
    <w:rsid w:val="00071733"/>
    <w:rsid w:val="000728A4"/>
    <w:rsid w:val="00073066"/>
    <w:rsid w:val="000741EF"/>
    <w:rsid w:val="00074BF8"/>
    <w:rsid w:val="00075100"/>
    <w:rsid w:val="00075637"/>
    <w:rsid w:val="00075A49"/>
    <w:rsid w:val="0007697D"/>
    <w:rsid w:val="00076D79"/>
    <w:rsid w:val="00080906"/>
    <w:rsid w:val="00082468"/>
    <w:rsid w:val="000835E5"/>
    <w:rsid w:val="00083D75"/>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32EF"/>
    <w:rsid w:val="000A40B6"/>
    <w:rsid w:val="000A4799"/>
    <w:rsid w:val="000A4F6B"/>
    <w:rsid w:val="000A6448"/>
    <w:rsid w:val="000B0496"/>
    <w:rsid w:val="000B0E8A"/>
    <w:rsid w:val="000B1145"/>
    <w:rsid w:val="000B13DC"/>
    <w:rsid w:val="000B140F"/>
    <w:rsid w:val="000B161C"/>
    <w:rsid w:val="000B169A"/>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4FEC"/>
    <w:rsid w:val="000E528C"/>
    <w:rsid w:val="000E6877"/>
    <w:rsid w:val="000E6B27"/>
    <w:rsid w:val="000F1C56"/>
    <w:rsid w:val="000F26D7"/>
    <w:rsid w:val="000F2A16"/>
    <w:rsid w:val="000F2E12"/>
    <w:rsid w:val="000F314E"/>
    <w:rsid w:val="000F368E"/>
    <w:rsid w:val="000F3C53"/>
    <w:rsid w:val="000F56AB"/>
    <w:rsid w:val="000F5C7A"/>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36F7"/>
    <w:rsid w:val="00123836"/>
    <w:rsid w:val="00123C4E"/>
    <w:rsid w:val="00123FEF"/>
    <w:rsid w:val="00124C41"/>
    <w:rsid w:val="001258DA"/>
    <w:rsid w:val="0012595A"/>
    <w:rsid w:val="00125F63"/>
    <w:rsid w:val="001270C3"/>
    <w:rsid w:val="00127DB5"/>
    <w:rsid w:val="0013020B"/>
    <w:rsid w:val="001304AC"/>
    <w:rsid w:val="001307DF"/>
    <w:rsid w:val="00130C30"/>
    <w:rsid w:val="00130F8D"/>
    <w:rsid w:val="00131745"/>
    <w:rsid w:val="00131D77"/>
    <w:rsid w:val="00132002"/>
    <w:rsid w:val="00133964"/>
    <w:rsid w:val="00133B84"/>
    <w:rsid w:val="00135D2B"/>
    <w:rsid w:val="00137270"/>
    <w:rsid w:val="00140E77"/>
    <w:rsid w:val="00141355"/>
    <w:rsid w:val="00141648"/>
    <w:rsid w:val="00141A24"/>
    <w:rsid w:val="00141B3A"/>
    <w:rsid w:val="00142AD8"/>
    <w:rsid w:val="00142C1E"/>
    <w:rsid w:val="00142DAD"/>
    <w:rsid w:val="00143E05"/>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288A"/>
    <w:rsid w:val="001D41B0"/>
    <w:rsid w:val="001D440A"/>
    <w:rsid w:val="001D461F"/>
    <w:rsid w:val="001D5277"/>
    <w:rsid w:val="001D66C1"/>
    <w:rsid w:val="001D66E3"/>
    <w:rsid w:val="001E1C59"/>
    <w:rsid w:val="001E1D3B"/>
    <w:rsid w:val="001E2B92"/>
    <w:rsid w:val="001E3097"/>
    <w:rsid w:val="001E3272"/>
    <w:rsid w:val="001E3450"/>
    <w:rsid w:val="001E3552"/>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94E"/>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0952"/>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7357"/>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6E4"/>
    <w:rsid w:val="003A3C90"/>
    <w:rsid w:val="003A4C42"/>
    <w:rsid w:val="003A76A8"/>
    <w:rsid w:val="003A7ADA"/>
    <w:rsid w:val="003B01EC"/>
    <w:rsid w:val="003B170B"/>
    <w:rsid w:val="003B23F9"/>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16B3"/>
    <w:rsid w:val="003D1D3A"/>
    <w:rsid w:val="003D2890"/>
    <w:rsid w:val="003D31DA"/>
    <w:rsid w:val="003D3EF9"/>
    <w:rsid w:val="003D4996"/>
    <w:rsid w:val="003D5662"/>
    <w:rsid w:val="003D6109"/>
    <w:rsid w:val="003D6A3B"/>
    <w:rsid w:val="003D6EE0"/>
    <w:rsid w:val="003D70DA"/>
    <w:rsid w:val="003D77A7"/>
    <w:rsid w:val="003D7CED"/>
    <w:rsid w:val="003E1687"/>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B3F"/>
    <w:rsid w:val="003F369F"/>
    <w:rsid w:val="003F3CA9"/>
    <w:rsid w:val="003F416A"/>
    <w:rsid w:val="003F433B"/>
    <w:rsid w:val="003F5120"/>
    <w:rsid w:val="003F61E8"/>
    <w:rsid w:val="003F7098"/>
    <w:rsid w:val="003F731F"/>
    <w:rsid w:val="004004AD"/>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2122"/>
    <w:rsid w:val="0046277B"/>
    <w:rsid w:val="00463933"/>
    <w:rsid w:val="004646B3"/>
    <w:rsid w:val="00465D59"/>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75F"/>
    <w:rsid w:val="00484F03"/>
    <w:rsid w:val="0048517A"/>
    <w:rsid w:val="00485218"/>
    <w:rsid w:val="00485A31"/>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5837"/>
    <w:rsid w:val="004C64AE"/>
    <w:rsid w:val="004C66A9"/>
    <w:rsid w:val="004C6C08"/>
    <w:rsid w:val="004D1C3C"/>
    <w:rsid w:val="004D3A19"/>
    <w:rsid w:val="004D4079"/>
    <w:rsid w:val="004D555F"/>
    <w:rsid w:val="004D5AE4"/>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744B"/>
    <w:rsid w:val="004F7715"/>
    <w:rsid w:val="004F79C7"/>
    <w:rsid w:val="004F7CE4"/>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905F9"/>
    <w:rsid w:val="005907A4"/>
    <w:rsid w:val="00590904"/>
    <w:rsid w:val="00590CA3"/>
    <w:rsid w:val="0059262D"/>
    <w:rsid w:val="00592ADA"/>
    <w:rsid w:val="00593826"/>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520D"/>
    <w:rsid w:val="006464CC"/>
    <w:rsid w:val="0064684B"/>
    <w:rsid w:val="006476CD"/>
    <w:rsid w:val="006500E2"/>
    <w:rsid w:val="006500EC"/>
    <w:rsid w:val="006502BC"/>
    <w:rsid w:val="00650D49"/>
    <w:rsid w:val="00651AB9"/>
    <w:rsid w:val="00651B2E"/>
    <w:rsid w:val="00652E90"/>
    <w:rsid w:val="0065459B"/>
    <w:rsid w:val="00654A5D"/>
    <w:rsid w:val="00655811"/>
    <w:rsid w:val="0065586E"/>
    <w:rsid w:val="00656555"/>
    <w:rsid w:val="00657FCA"/>
    <w:rsid w:val="00660277"/>
    <w:rsid w:val="006602B4"/>
    <w:rsid w:val="00660CC8"/>
    <w:rsid w:val="006629FE"/>
    <w:rsid w:val="00662D76"/>
    <w:rsid w:val="006631BB"/>
    <w:rsid w:val="006632A1"/>
    <w:rsid w:val="006635DA"/>
    <w:rsid w:val="006640D1"/>
    <w:rsid w:val="006640DA"/>
    <w:rsid w:val="00664123"/>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2F25"/>
    <w:rsid w:val="007239A2"/>
    <w:rsid w:val="00723D23"/>
    <w:rsid w:val="0072403D"/>
    <w:rsid w:val="00724538"/>
    <w:rsid w:val="00725952"/>
    <w:rsid w:val="00727898"/>
    <w:rsid w:val="00727E6E"/>
    <w:rsid w:val="0073044F"/>
    <w:rsid w:val="00730E01"/>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1328"/>
    <w:rsid w:val="00771E66"/>
    <w:rsid w:val="0077219B"/>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1AE"/>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504C"/>
    <w:rsid w:val="00885A71"/>
    <w:rsid w:val="00886609"/>
    <w:rsid w:val="0088687A"/>
    <w:rsid w:val="00886D95"/>
    <w:rsid w:val="008873D6"/>
    <w:rsid w:val="00890878"/>
    <w:rsid w:val="0089094D"/>
    <w:rsid w:val="00891539"/>
    <w:rsid w:val="00891569"/>
    <w:rsid w:val="0089162E"/>
    <w:rsid w:val="008916CF"/>
    <w:rsid w:val="008920AA"/>
    <w:rsid w:val="00892E42"/>
    <w:rsid w:val="0089328A"/>
    <w:rsid w:val="008938A1"/>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5FA"/>
    <w:rsid w:val="008C5FFE"/>
    <w:rsid w:val="008C6A03"/>
    <w:rsid w:val="008C705F"/>
    <w:rsid w:val="008C7170"/>
    <w:rsid w:val="008C72F6"/>
    <w:rsid w:val="008D2895"/>
    <w:rsid w:val="008D33FE"/>
    <w:rsid w:val="008D62D2"/>
    <w:rsid w:val="008D6E74"/>
    <w:rsid w:val="008D75BC"/>
    <w:rsid w:val="008D79EF"/>
    <w:rsid w:val="008E06C4"/>
    <w:rsid w:val="008E07A5"/>
    <w:rsid w:val="008E0E2D"/>
    <w:rsid w:val="008E0F66"/>
    <w:rsid w:val="008E1D07"/>
    <w:rsid w:val="008E28EB"/>
    <w:rsid w:val="008E3B94"/>
    <w:rsid w:val="008E3CBE"/>
    <w:rsid w:val="008E484A"/>
    <w:rsid w:val="008E4E8E"/>
    <w:rsid w:val="008E5E69"/>
    <w:rsid w:val="008E5FD5"/>
    <w:rsid w:val="008E69EB"/>
    <w:rsid w:val="008E6CC9"/>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1B14"/>
    <w:rsid w:val="00921BD5"/>
    <w:rsid w:val="0092247D"/>
    <w:rsid w:val="00922B83"/>
    <w:rsid w:val="009240F0"/>
    <w:rsid w:val="009254E5"/>
    <w:rsid w:val="00925B65"/>
    <w:rsid w:val="0092645A"/>
    <w:rsid w:val="00926B4A"/>
    <w:rsid w:val="0092765D"/>
    <w:rsid w:val="00927F5A"/>
    <w:rsid w:val="00930790"/>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3D49"/>
    <w:rsid w:val="009442D9"/>
    <w:rsid w:val="00946410"/>
    <w:rsid w:val="00947EF7"/>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E51"/>
    <w:rsid w:val="009803B7"/>
    <w:rsid w:val="009820C2"/>
    <w:rsid w:val="009826E2"/>
    <w:rsid w:val="00982837"/>
    <w:rsid w:val="009830EC"/>
    <w:rsid w:val="009838A8"/>
    <w:rsid w:val="009848E9"/>
    <w:rsid w:val="00984900"/>
    <w:rsid w:val="009901ED"/>
    <w:rsid w:val="009909A4"/>
    <w:rsid w:val="00990AFE"/>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6367"/>
    <w:rsid w:val="00AC025E"/>
    <w:rsid w:val="00AC06EA"/>
    <w:rsid w:val="00AC0904"/>
    <w:rsid w:val="00AC0F7C"/>
    <w:rsid w:val="00AC1528"/>
    <w:rsid w:val="00AC1BE5"/>
    <w:rsid w:val="00AC20C6"/>
    <w:rsid w:val="00AC21F1"/>
    <w:rsid w:val="00AC2366"/>
    <w:rsid w:val="00AC2AE1"/>
    <w:rsid w:val="00AC2EEB"/>
    <w:rsid w:val="00AC4735"/>
    <w:rsid w:val="00AC57CB"/>
    <w:rsid w:val="00AC5BDD"/>
    <w:rsid w:val="00AC62D9"/>
    <w:rsid w:val="00AD0B67"/>
    <w:rsid w:val="00AD12CD"/>
    <w:rsid w:val="00AD2345"/>
    <w:rsid w:val="00AD2906"/>
    <w:rsid w:val="00AD3E5D"/>
    <w:rsid w:val="00AD40F0"/>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2DA1"/>
    <w:rsid w:val="00B52E1F"/>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371C"/>
    <w:rsid w:val="00BA4464"/>
    <w:rsid w:val="00BA4B58"/>
    <w:rsid w:val="00BA51B8"/>
    <w:rsid w:val="00BA5523"/>
    <w:rsid w:val="00BA6DB5"/>
    <w:rsid w:val="00BA7B9D"/>
    <w:rsid w:val="00BB0A38"/>
    <w:rsid w:val="00BB0FA9"/>
    <w:rsid w:val="00BB124F"/>
    <w:rsid w:val="00BB2394"/>
    <w:rsid w:val="00BB3AC9"/>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2EB"/>
    <w:rsid w:val="00C335CB"/>
    <w:rsid w:val="00C358F0"/>
    <w:rsid w:val="00C36703"/>
    <w:rsid w:val="00C3725F"/>
    <w:rsid w:val="00C37751"/>
    <w:rsid w:val="00C40A7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3143"/>
    <w:rsid w:val="00C6395C"/>
    <w:rsid w:val="00C64401"/>
    <w:rsid w:val="00C6636C"/>
    <w:rsid w:val="00C66911"/>
    <w:rsid w:val="00C673B5"/>
    <w:rsid w:val="00C7250C"/>
    <w:rsid w:val="00C72A14"/>
    <w:rsid w:val="00C72E85"/>
    <w:rsid w:val="00C73046"/>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4C58"/>
    <w:rsid w:val="00C951B8"/>
    <w:rsid w:val="00C958D6"/>
    <w:rsid w:val="00C95C2A"/>
    <w:rsid w:val="00C95FCD"/>
    <w:rsid w:val="00C9602D"/>
    <w:rsid w:val="00C97A5B"/>
    <w:rsid w:val="00CA057C"/>
    <w:rsid w:val="00CA0B2D"/>
    <w:rsid w:val="00CA0E8A"/>
    <w:rsid w:val="00CA12C6"/>
    <w:rsid w:val="00CA204A"/>
    <w:rsid w:val="00CA4641"/>
    <w:rsid w:val="00CA4EC0"/>
    <w:rsid w:val="00CA623B"/>
    <w:rsid w:val="00CA6E29"/>
    <w:rsid w:val="00CA79F4"/>
    <w:rsid w:val="00CB0468"/>
    <w:rsid w:val="00CB0520"/>
    <w:rsid w:val="00CB098E"/>
    <w:rsid w:val="00CB1F2D"/>
    <w:rsid w:val="00CB23B3"/>
    <w:rsid w:val="00CB2423"/>
    <w:rsid w:val="00CB2640"/>
    <w:rsid w:val="00CB2C14"/>
    <w:rsid w:val="00CB4BD4"/>
    <w:rsid w:val="00CB5CF0"/>
    <w:rsid w:val="00CC10DA"/>
    <w:rsid w:val="00CC130E"/>
    <w:rsid w:val="00CC37B0"/>
    <w:rsid w:val="00CC44D5"/>
    <w:rsid w:val="00CC4A80"/>
    <w:rsid w:val="00CC5861"/>
    <w:rsid w:val="00CC5C64"/>
    <w:rsid w:val="00CC5EC3"/>
    <w:rsid w:val="00CC6236"/>
    <w:rsid w:val="00CC6A45"/>
    <w:rsid w:val="00CD153B"/>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2648"/>
    <w:rsid w:val="00E13BA2"/>
    <w:rsid w:val="00E14195"/>
    <w:rsid w:val="00E147DF"/>
    <w:rsid w:val="00E15696"/>
    <w:rsid w:val="00E1575C"/>
    <w:rsid w:val="00E16C68"/>
    <w:rsid w:val="00E1735B"/>
    <w:rsid w:val="00E17B72"/>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1296"/>
    <w:rsid w:val="00E426B5"/>
    <w:rsid w:val="00E429BC"/>
    <w:rsid w:val="00E43077"/>
    <w:rsid w:val="00E434B4"/>
    <w:rsid w:val="00E44519"/>
    <w:rsid w:val="00E445F8"/>
    <w:rsid w:val="00E44A8D"/>
    <w:rsid w:val="00E44FF3"/>
    <w:rsid w:val="00E4539B"/>
    <w:rsid w:val="00E45FCE"/>
    <w:rsid w:val="00E46501"/>
    <w:rsid w:val="00E465D1"/>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5877"/>
    <w:rsid w:val="00E872D2"/>
    <w:rsid w:val="00E90714"/>
    <w:rsid w:val="00E91A9A"/>
    <w:rsid w:val="00E92876"/>
    <w:rsid w:val="00E93720"/>
    <w:rsid w:val="00E93E95"/>
    <w:rsid w:val="00E960E1"/>
    <w:rsid w:val="00E967EC"/>
    <w:rsid w:val="00E96DD3"/>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4B21"/>
    <w:rsid w:val="00F251D9"/>
    <w:rsid w:val="00F270BA"/>
    <w:rsid w:val="00F27669"/>
    <w:rsid w:val="00F279AB"/>
    <w:rsid w:val="00F27DF5"/>
    <w:rsid w:val="00F30A9D"/>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17C2"/>
    <w:rsid w:val="00F82FDB"/>
    <w:rsid w:val="00F83C9D"/>
    <w:rsid w:val="00F840DD"/>
    <w:rsid w:val="00F856E4"/>
    <w:rsid w:val="00F86231"/>
    <w:rsid w:val="00F869AA"/>
    <w:rsid w:val="00F86E83"/>
    <w:rsid w:val="00F901A7"/>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5D13"/>
    <w:rsid w:val="00FE6C92"/>
    <w:rsid w:val="00FE6E8C"/>
    <w:rsid w:val="00FE7398"/>
    <w:rsid w:val="00FF06E1"/>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zqh\Desktop\&#26399;&#25351;&#25345;&#20179;&#37327;&#26085;&#3578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FF0000"/>
                </a:solidFill>
              </a:defRPr>
            </a:pPr>
            <a:r>
              <a:rPr lang="zh-CN" altLang="en-US"/>
              <a:t>最近一周期指净持仓（前</a:t>
            </a:r>
            <a:r>
              <a:rPr lang="en-US" altLang="zh-CN"/>
              <a:t>20</a:t>
            </a:r>
            <a:r>
              <a:rPr lang="zh-CN" altLang="en-US"/>
              <a:t>主力会员）</a:t>
            </a:r>
            <a:endParaRPr lang="en-US" altLang="zh-CN"/>
          </a:p>
          <a:p>
            <a:pPr>
              <a:defRPr sz="1200">
                <a:solidFill>
                  <a:srgbClr val="FF0000"/>
                </a:solidFill>
              </a:defRPr>
            </a:pPr>
            <a:endParaRPr lang="zh-CN" altLang="en-US"/>
          </a:p>
        </c:rich>
      </c:tx>
      <c:overlay val="0"/>
    </c:title>
    <c:autoTitleDeleted val="0"/>
    <c:plotArea>
      <c:layout/>
      <c:barChart>
        <c:barDir val="col"/>
        <c:grouping val="clustered"/>
        <c:varyColors val="0"/>
        <c:ser>
          <c:idx val="0"/>
          <c:order val="0"/>
          <c:spPr>
            <a:solidFill>
              <a:schemeClr val="accent6">
                <a:lumMod val="75000"/>
              </a:schemeClr>
            </a:solidFill>
          </c:spPr>
          <c:invertIfNegative val="0"/>
          <c:dPt>
            <c:idx val="7"/>
            <c:invertIfNegative val="0"/>
            <c:bubble3D val="0"/>
            <c:spPr>
              <a:solidFill>
                <a:schemeClr val="tx2">
                  <a:lumMod val="60000"/>
                  <a:lumOff val="40000"/>
                </a:schemeClr>
              </a:solidFill>
            </c:spPr>
          </c:dPt>
          <c:dPt>
            <c:idx val="8"/>
            <c:invertIfNegative val="0"/>
            <c:bubble3D val="0"/>
            <c:spPr>
              <a:solidFill>
                <a:schemeClr val="tx2">
                  <a:lumMod val="60000"/>
                  <a:lumOff val="40000"/>
                </a:schemeClr>
              </a:solidFill>
            </c:spPr>
          </c:dPt>
          <c:dPt>
            <c:idx val="9"/>
            <c:invertIfNegative val="0"/>
            <c:bubble3D val="0"/>
            <c:spPr>
              <a:solidFill>
                <a:schemeClr val="tx2">
                  <a:lumMod val="60000"/>
                  <a:lumOff val="40000"/>
                </a:schemeClr>
              </a:solidFill>
            </c:spPr>
          </c:dPt>
          <c:dPt>
            <c:idx val="10"/>
            <c:invertIfNegative val="0"/>
            <c:bubble3D val="0"/>
            <c:spPr>
              <a:solidFill>
                <a:schemeClr val="tx2">
                  <a:lumMod val="60000"/>
                  <a:lumOff val="40000"/>
                </a:schemeClr>
              </a:solidFill>
            </c:spPr>
          </c:dPt>
          <c:dPt>
            <c:idx val="11"/>
            <c:invertIfNegative val="0"/>
            <c:bubble3D val="0"/>
            <c:spPr>
              <a:solidFill>
                <a:schemeClr val="tx2">
                  <a:lumMod val="60000"/>
                  <a:lumOff val="40000"/>
                </a:schemeClr>
              </a:solidFill>
            </c:spPr>
          </c:dPt>
          <c:dPt>
            <c:idx val="12"/>
            <c:invertIfNegative val="0"/>
            <c:bubble3D val="0"/>
            <c:spPr>
              <a:solidFill>
                <a:schemeClr val="tx2">
                  <a:lumMod val="60000"/>
                  <a:lumOff val="40000"/>
                </a:schemeClr>
              </a:solidFill>
            </c:spPr>
          </c:dPt>
          <c:dPt>
            <c:idx val="14"/>
            <c:invertIfNegative val="0"/>
            <c:bubble3D val="0"/>
            <c:spPr>
              <a:solidFill>
                <a:srgbClr val="92D050"/>
              </a:solidFill>
            </c:spPr>
          </c:dPt>
          <c:dPt>
            <c:idx val="15"/>
            <c:invertIfNegative val="0"/>
            <c:bubble3D val="0"/>
            <c:spPr>
              <a:solidFill>
                <a:srgbClr val="92D050"/>
              </a:solidFill>
            </c:spPr>
          </c:dPt>
          <c:dPt>
            <c:idx val="16"/>
            <c:invertIfNegative val="0"/>
            <c:bubble3D val="0"/>
            <c:spPr>
              <a:solidFill>
                <a:srgbClr val="92D050"/>
              </a:solidFill>
            </c:spPr>
          </c:dPt>
          <c:dPt>
            <c:idx val="17"/>
            <c:invertIfNegative val="0"/>
            <c:bubble3D val="0"/>
            <c:spPr>
              <a:solidFill>
                <a:srgbClr val="92D050"/>
              </a:solidFill>
            </c:spPr>
          </c:dPt>
          <c:dPt>
            <c:idx val="18"/>
            <c:invertIfNegative val="0"/>
            <c:bubble3D val="0"/>
            <c:spPr>
              <a:solidFill>
                <a:srgbClr val="92D050"/>
              </a:solidFill>
            </c:spPr>
          </c:dPt>
          <c:dPt>
            <c:idx val="19"/>
            <c:invertIfNegative val="0"/>
            <c:bubble3D val="0"/>
            <c:spPr>
              <a:solidFill>
                <a:srgbClr val="92D050"/>
              </a:solidFill>
            </c:spPr>
          </c:dPt>
          <c:dPt>
            <c:idx val="20"/>
            <c:invertIfNegative val="0"/>
            <c:bubble3D val="0"/>
            <c:spPr>
              <a:solidFill>
                <a:srgbClr val="92D050"/>
              </a:solidFill>
            </c:spPr>
          </c:dPt>
          <c:cat>
            <c:strRef>
              <c:f>Sheet1!$A$11:$A$29</c:f>
              <c:strCache>
                <c:ptCount val="17"/>
                <c:pt idx="2">
                  <c:v>IF</c:v>
                </c:pt>
                <c:pt idx="9">
                  <c:v>IH</c:v>
                </c:pt>
                <c:pt idx="16">
                  <c:v>IC</c:v>
                </c:pt>
              </c:strCache>
            </c:strRef>
          </c:cat>
          <c:val>
            <c:numRef>
              <c:f>Sheet1!$B$11:$B$29</c:f>
              <c:numCache>
                <c:formatCode>General</c:formatCode>
                <c:ptCount val="19"/>
                <c:pt idx="0">
                  <c:v>1115</c:v>
                </c:pt>
                <c:pt idx="1">
                  <c:v>1143</c:v>
                </c:pt>
                <c:pt idx="2">
                  <c:v>1128</c:v>
                </c:pt>
                <c:pt idx="3">
                  <c:v>1078</c:v>
                </c:pt>
                <c:pt idx="4">
                  <c:v>1042</c:v>
                </c:pt>
                <c:pt idx="7">
                  <c:v>-561</c:v>
                </c:pt>
                <c:pt idx="8">
                  <c:v>-754</c:v>
                </c:pt>
                <c:pt idx="9">
                  <c:v>-678</c:v>
                </c:pt>
                <c:pt idx="10">
                  <c:v>-1250</c:v>
                </c:pt>
                <c:pt idx="11">
                  <c:v>-519</c:v>
                </c:pt>
                <c:pt idx="14">
                  <c:v>-738</c:v>
                </c:pt>
                <c:pt idx="15">
                  <c:v>-1271</c:v>
                </c:pt>
                <c:pt idx="16">
                  <c:v>-542</c:v>
                </c:pt>
                <c:pt idx="17">
                  <c:v>-754</c:v>
                </c:pt>
                <c:pt idx="18">
                  <c:v>-607</c:v>
                </c:pt>
              </c:numCache>
            </c:numRef>
          </c:val>
        </c:ser>
        <c:dLbls>
          <c:showLegendKey val="0"/>
          <c:showVal val="0"/>
          <c:showCatName val="0"/>
          <c:showSerName val="0"/>
          <c:showPercent val="0"/>
          <c:showBubbleSize val="0"/>
        </c:dLbls>
        <c:gapWidth val="220"/>
        <c:axId val="59468800"/>
        <c:axId val="59478784"/>
      </c:barChart>
      <c:catAx>
        <c:axId val="59468800"/>
        <c:scaling>
          <c:orientation val="minMax"/>
        </c:scaling>
        <c:delete val="0"/>
        <c:axPos val="b"/>
        <c:majorTickMark val="out"/>
        <c:minorTickMark val="none"/>
        <c:tickLblPos val="nextTo"/>
        <c:crossAx val="59478784"/>
        <c:crosses val="autoZero"/>
        <c:auto val="0"/>
        <c:lblAlgn val="ctr"/>
        <c:lblOffset val="700"/>
        <c:noMultiLvlLbl val="0"/>
      </c:catAx>
      <c:valAx>
        <c:axId val="59478784"/>
        <c:scaling>
          <c:orientation val="minMax"/>
        </c:scaling>
        <c:delete val="0"/>
        <c:axPos val="l"/>
        <c:numFmt formatCode="General" sourceLinked="1"/>
        <c:majorTickMark val="out"/>
        <c:minorTickMark val="none"/>
        <c:tickLblPos val="nextTo"/>
        <c:crossAx val="59468800"/>
        <c:crosses val="autoZero"/>
        <c:crossBetween val="between"/>
      </c:valAx>
    </c:plotArea>
    <c:plotVisOnly val="1"/>
    <c:dispBlanksAs val="gap"/>
    <c:showDLblsOverMax val="0"/>
  </c:chart>
  <c:spPr>
    <a:ln>
      <a:solidFill>
        <a:schemeClr val="accent6"/>
      </a:solid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5FFE-F4B7-4C21-9910-89D650C6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PresentationFormat/>
  <Lines>10</Lines>
  <Paragraphs>2</Paragraphs>
  <Slides>0</Slides>
  <Notes>0</Notes>
  <HiddenSlides>0</HiddenSlides>
  <MMClips>0</MMClips>
  <ScaleCrop>false</ScaleCrop>
  <Company>Sky123.Org</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2</cp:revision>
  <cp:lastPrinted>2016-06-29T09:02:00Z</cp:lastPrinted>
  <dcterms:created xsi:type="dcterms:W3CDTF">2016-07-01T09:10:00Z</dcterms:created>
  <dcterms:modified xsi:type="dcterms:W3CDTF">2016-07-01T09:10:00Z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